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7.05:687.01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Н. В. Чуприна, А. Г. Шаповал, Ю. Р. Балабаенко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Киевский национальный университет технологий и дизайна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СРЕДСТВА ВЗАИМОВЛИЯНИЯ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СУБКУЛЬТУРНЫХ ХАРАКТЕРИСТИК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КОСТЮМА ПРИ РАЗРАБОТКЕ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АКТУАЛЬНОГО МОДНОГО ОБРАЗА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ИНДУСТРИИ МОДЫ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Проанализированы субкультуры, которые оказали наибольшее влияние на модные тенденции современной моды. Найдены общие черты, присущие основным молодежным субкультурам ХХ в. На основе этих характеристик выделены черты, которые лежат в основе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проектирования современного костюма как продукта индустрии моды. Определены основные признаки типов каждой субкультуры. Проведен сравнительный анализ основных черт и свойств стилевых направлений в молодежных культурах для проектирования актуальной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модной одежды. Выделены главные составляющие проектные характеристики субкультур и основные особенности цветовой гаммы каждой молодежной культуры, которые можно использовать в художественно-композиционной работе в создании модного образа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современной индустрии моды.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индустрия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моды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проектный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образ</w:t>
      </w:r>
      <w:r>
        <w:rPr>
          <w:rFonts w:ascii="TimesNewRomanPSMT" w:eastAsia="TimesNewRomanPSMT" w:hAnsi="EuropeExtBold" w:cs="TimesNewRomanPSMT"/>
          <w:sz w:val="20"/>
          <w:szCs w:val="20"/>
        </w:rPr>
        <w:t>,</w:t>
      </w:r>
    </w:p>
    <w:p w:rsidR="00E06044" w:rsidRP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MT" w:eastAsia="TimesNewRomanPSMT" w:hAnsi="EuropeExtBold" w:cs="TimesNewRomanPSMT" w:hint="eastAsia"/>
          <w:sz w:val="20"/>
          <w:szCs w:val="20"/>
        </w:rPr>
        <w:t>массовый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сегмент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моды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субкультура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стрит</w:t>
      </w:r>
      <w:r>
        <w:rPr>
          <w:rFonts w:ascii="TimesNewRomanPSMT" w:eastAsia="TimesNewRomanPSMT" w:hAnsi="EuropeExtBold" w:cs="TimesNewRomanPSMT"/>
          <w:sz w:val="20"/>
          <w:szCs w:val="20"/>
        </w:rPr>
        <w:t>-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стайл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eastAsia="TimesNewRomanPSMT" w:cs="TimesNewRomanPSMT"/>
          <w:sz w:val="20"/>
          <w:szCs w:val="20"/>
        </w:rPr>
        <w:t xml:space="preserve">     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стилевое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направление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уличная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мода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модные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тенден</w:t>
      </w:r>
      <w:r>
        <w:rPr>
          <w:rFonts w:eastAsia="TimesNewRomanPSMT" w:cs="TimesNewRomanPSMT"/>
          <w:sz w:val="20"/>
          <w:szCs w:val="20"/>
        </w:rPr>
        <w:t>-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ции</w:t>
      </w:r>
      <w:r>
        <w:rPr>
          <w:rFonts w:ascii="TimesNewRomanPSMT" w:eastAsia="TimesNewRomanPSMT" w:hAnsi="EuropeExtBold" w:cs="TimesNewRomanPSMT"/>
          <w:sz w:val="20"/>
          <w:szCs w:val="20"/>
        </w:rPr>
        <w:t>,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массовая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мода</w:t>
      </w:r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7.02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Жуков, Чжун ДаньМэй, Е. А. Кузьмич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КОСМОЛОГИЧЕСКИЙ ФАКТОР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СОЗДАНИИ ОБРАЗОВ ОБЪЕКТОВ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ДИЗАЙНА, ПРЕДСТАВЛЕННЫХ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ЮВЕЛИРНЫМИ ИЗДЕЛИЯМИ «УРАНИЯ»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Проведены исследования по созданию культурного кода образа парюры, который определен визуальной когнитивной информационной динамической системой «человек — зодиак — ювелирные изделия „Урания“». Основной принцип научного подхода в проекте заключается в развитии зодиакальной морфологии для оптимальной идентификации личности индивиду-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ума и рассматривается как когнитивное искажение реальности в получении художественного образа ювелирных украшений. Сделан акцент на необходимость использования законов, сущностей, свойств и отношений в материальном мире природы, а также определения</w:t>
      </w:r>
    </w:p>
    <w:p w:rsidR="001C06BA" w:rsidRP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пространственно-временной корреляции информационно-энергетических связей мифопоэтики с естественными науками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астрономия, космология, геометрия и т. п.</w:t>
      </w:r>
      <w:r>
        <w:rPr>
          <w:rFonts w:ascii="TimesNewRomanPSMT" w:eastAsia="TimesNewRomanPSMT" w:hAnsi="EuropeExt" w:cs="TimesNewRomanPSMT"/>
          <w:sz w:val="20"/>
          <w:szCs w:val="20"/>
        </w:rPr>
        <w:t>)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рамках поснеклассической методологии исследования.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культурный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код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система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семиотика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космос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зодиак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созвездия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004.9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Н. Е. Мильчакова, Ю. И. Шаманаева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Московский технологический университет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ОСОБЕННОСТИ СТРУКТУРЫ WEB-САЙТА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 ВОЗДЕЙСТВИЕ ЦВЕТА В WEB-ДИЗАЙНЕ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Сформирована схема особенностей создания и структуры web-сайтов в зависимости от их назначения. Рассмотрены и выявлены основные отличительные особенности применения цвета и его влияние в web-дизайне. Составлена таблица основных цветов, преобладающих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web-страницах, проанализировано их восприятие пользователем и воздействие на него.</w:t>
      </w:r>
    </w:p>
    <w:p w:rsidR="001C06BA" w:rsidRP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цвет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восприятие</w:t>
      </w:r>
      <w:r>
        <w:rPr>
          <w:rFonts w:ascii="TimesNewRomanPSMT" w:eastAsia="TimesNewRomanPSMT" w:hAnsi="EuropeExt" w:cs="TimesNewRomanPSMT"/>
          <w:sz w:val="20"/>
          <w:szCs w:val="20"/>
        </w:rPr>
        <w:t>, web-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структура</w:t>
      </w:r>
      <w:r>
        <w:rPr>
          <w:rFonts w:ascii="TimesNewRomanPSMT" w:eastAsia="TimesNewRomanPSMT" w:hAnsi="EuropeExt" w:cs="TimesNewRomanPSMT"/>
          <w:sz w:val="20"/>
          <w:szCs w:val="20"/>
        </w:rPr>
        <w:t>, web-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сайт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7.011:7.036:658.512.23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С. Соболева, В. В. Сем</w:t>
      </w:r>
      <w:r>
        <w:rPr>
          <w:rFonts w:ascii="Arial-BoldMT" w:hAnsi="Arial-BoldMT" w:cs="Arial-BoldMT"/>
          <w:b/>
          <w:bCs/>
          <w:sz w:val="24"/>
          <w:szCs w:val="24"/>
        </w:rPr>
        <w:t>ё</w:t>
      </w:r>
      <w:r>
        <w:rPr>
          <w:rFonts w:ascii="EuropeExtBold" w:hAnsi="EuropeExtBold" w:cs="EuropeExtBold"/>
          <w:b/>
          <w:bCs/>
          <w:sz w:val="24"/>
          <w:szCs w:val="24"/>
        </w:rPr>
        <w:t>нова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ПЛАНИРОВАНИЕ НОВЫХ ФОРМ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ВЗАИМОДЕЙСТВИЯ ЧЕЛОВЕКА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 ДИЗАЙН-ОБЪЕКТОВ,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ПРОГНОЗИРУЕМЫХ МЕТОДАМИ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СПЕКУЛЯТИВНОГО ПРОЕКТИРОВАНИЯ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Представлены примеры проектов, разработанных на основе спекулятивного метода проектирования,произведен краткий анализ новых форм интерактивного общения между человеком и дизайн-объектом,представлены сравнительные характеристики традиционного и спекулятивного мышления. На примере представленных проектов сформулирована одна из це-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лей спекулятивного проектирования — формирование личной позиции, позволяющей вовлеченному зрителю оставаться неравнодушным, а значит — оказывать влияние на формирование желаемого будущего.</w:t>
      </w:r>
    </w:p>
    <w:p w:rsidR="001C06BA" w:rsidRPr="00E21792" w:rsidRDefault="001C06BA" w:rsidP="00E2179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критическое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мышление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спекулятивный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eastAsia="TimesNewRomanPSMT" w:cs="TimesNewRomanPSMT"/>
          <w:sz w:val="20"/>
          <w:szCs w:val="20"/>
        </w:rPr>
        <w:t xml:space="preserve">               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будущего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рациональное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</w:t>
      </w:r>
      <w:r w:rsidR="00E21792">
        <w:rPr>
          <w:rFonts w:eastAsia="TimesNewRomanPSMT" w:cs="TimesNewRomanPSMT"/>
          <w:sz w:val="20"/>
          <w:szCs w:val="20"/>
        </w:rPr>
        <w:t xml:space="preserve">-       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прогноз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объект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артефакт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взаимодействие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37.041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Н. Сафронова, Т. В. Балланд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Я-КОНЦЕПЦИЯ ЛИЧНОСТИ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В МОЛОДЕЖНОЙ МОДЕ СУБКУЛЬТУР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Каждая новая су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бкультура определяет новые тен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денции, генерирует н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овые визуальные знаковые формы.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Рассматривается феномен проникн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овения молодежных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стилей из области су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бкультур в индустрию моды, воз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никновение интереса к одежде как к способу выражения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протеста, вызову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традиционным общественным смы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слам, коммерциализаци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данных настроений и появления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модных подиумах.</w:t>
      </w:r>
    </w:p>
    <w:p w:rsidR="001C06BA" w:rsidRPr="001A21BD" w:rsidRDefault="001C06BA" w:rsidP="001A21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субкультура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костюм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молодежная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тенденции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протест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621.357.7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С. И. Галанин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Л. А. Колодий-Тяжов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М. Г. Егорова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>,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В. А. Березовский 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1 </w:t>
      </w:r>
      <w:r>
        <w:rPr>
          <w:rFonts w:ascii="EuropeExt" w:hAnsi="EuropeExt" w:cs="EuropeExt"/>
          <w:sz w:val="16"/>
          <w:szCs w:val="16"/>
        </w:rPr>
        <w:t>Костромской государственный университет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Костромская государственная сельскохозяйственная академия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ДЕКОРАТИВНЫЕ СВОЙСТВА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ЦВЕТНЫХ ЗОЛОТЫХ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ГАЛЬВАНИЧЕСКИХ ПОКРЫТИЙ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Исследованы кол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ористические свойства красного,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желтого и зеленого г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альванического покрытия золотом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 электролитов фир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мы LegorGroup. Показано влияние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цвета подложки на цвет покрытия 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при малых его тол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щинах. Выработаны технологические рекомендации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для формирования покрытий необходимых толщин и цвета.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цветное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гальваническое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золочение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декоративные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покрытий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колористические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характеристики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покрытий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A21BD" w:rsidRDefault="001A21BD" w:rsidP="001C06BA">
      <w:pPr>
        <w:rPr>
          <w:rFonts w:eastAsia="TimesNewRomanPSMT" w:cs="TimesNewRomanPSMT"/>
          <w:sz w:val="20"/>
          <w:szCs w:val="20"/>
        </w:rPr>
      </w:pPr>
    </w:p>
    <w:p w:rsidR="001A21BD" w:rsidRDefault="001A21BD" w:rsidP="001C06BA">
      <w:pPr>
        <w:rPr>
          <w:rFonts w:eastAsia="TimesNewRomanPSMT" w:cs="TimesNewRomanPSMT"/>
          <w:sz w:val="20"/>
          <w:szCs w:val="20"/>
        </w:rPr>
      </w:pPr>
    </w:p>
    <w:p w:rsidR="001A21BD" w:rsidRDefault="001A21BD" w:rsidP="001C06BA">
      <w:pPr>
        <w:rPr>
          <w:rFonts w:eastAsia="TimesNewRomanPSMT" w:cs="TimesNewRomanPSMT"/>
          <w:sz w:val="20"/>
          <w:szCs w:val="20"/>
        </w:rPr>
      </w:pPr>
    </w:p>
    <w:p w:rsidR="001A21BD" w:rsidRDefault="001A21BD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623.4.012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lastRenderedPageBreak/>
        <w:t>Г. Р. Валиева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Ижевский государственный технический университет им. М. Т. Калашникова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ВЛИЯНИЕ ЭРГОНОМИЧЕСКИХ СВОЙСТВ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РУКОЯТОК СТАНДАРТНЫХ СПОРТИВНЫХ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ПИСТОЛЕТОВ НА УТОМЛЯЕМОСТЬ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МЫШЕЧНОГО АППАРАТА СТРЕЛКА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Проведены исс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ледования максимальной мышечной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силы и статической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выносливости мышц, выполняющих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удержание пист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олета. Установлено преимущество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использования усове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ршенствованной рукоятки в срав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нении с серийной.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спортивные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пистолеты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ортопедические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рукоятки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максимальная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мышечная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сила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мышечная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выносливость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УДК</w:t>
      </w:r>
      <w:r>
        <w:rPr>
          <w:rFonts w:ascii="TimesNewRomanPSMT" w:eastAsia="TimesNewRomanPSMT" w:cs="TimesNewRomanPSMT"/>
          <w:sz w:val="20"/>
          <w:szCs w:val="20"/>
        </w:rPr>
        <w:t xml:space="preserve"> 7.02+621.3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eastAsia="TimesNewRomanPSMT" w:hAnsi="EuropeExtBold" w:cs="EuropeExtBold"/>
          <w:b/>
          <w:bCs/>
          <w:sz w:val="24"/>
          <w:szCs w:val="24"/>
        </w:rPr>
      </w:pPr>
      <w:r>
        <w:rPr>
          <w:rFonts w:ascii="EuropeExtBold" w:eastAsia="TimesNewRomanPSMT" w:hAnsi="EuropeExtBold" w:cs="EuropeExtBold"/>
          <w:b/>
          <w:bCs/>
          <w:sz w:val="24"/>
          <w:szCs w:val="24"/>
        </w:rPr>
        <w:t>В. Л. Жуков, М. В. Никитина, О. В. Бесчастнова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eastAsia="TimesNewRomanPSMT" w:hAnsi="EuropeExt" w:cs="EuropeExt"/>
          <w:sz w:val="16"/>
          <w:szCs w:val="16"/>
        </w:rPr>
      </w:pPr>
      <w:r>
        <w:rPr>
          <w:rFonts w:ascii="EuropeExt" w:eastAsia="TimesNewRomanPSM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eastAsia="TimesNewRomanPSMT" w:hAnsi="EuropeExtBold" w:cs="EuropeExtBold"/>
          <w:b/>
          <w:bCs/>
          <w:sz w:val="34"/>
          <w:szCs w:val="34"/>
        </w:rPr>
      </w:pPr>
      <w:r>
        <w:rPr>
          <w:rFonts w:ascii="EuropeExtBold" w:eastAsia="TimesNewRomanPSMT" w:hAnsi="EuropeExtBold" w:cs="EuropeExtBold"/>
          <w:b/>
          <w:bCs/>
          <w:sz w:val="34"/>
          <w:szCs w:val="34"/>
        </w:rPr>
        <w:t>МЕЖДИСЦИПЛИНАРНЫЕ</w:t>
      </w:r>
      <w:r>
        <w:rPr>
          <w:rFonts w:eastAsia="TimesNewRomanPSMT" w:cs="EuropeExtBold"/>
          <w:b/>
          <w:bCs/>
          <w:sz w:val="34"/>
          <w:szCs w:val="34"/>
        </w:rPr>
        <w:t xml:space="preserve"> </w:t>
      </w:r>
      <w:r>
        <w:rPr>
          <w:rFonts w:ascii="EuropeExtBold" w:eastAsia="TimesNewRomanPSMT" w:hAnsi="EuropeExtBold" w:cs="EuropeExtBold"/>
          <w:b/>
          <w:bCs/>
          <w:sz w:val="34"/>
          <w:szCs w:val="34"/>
        </w:rPr>
        <w:t>ИССЛЕДОВАНИЯ В ОБЪЕКТАХ</w:t>
      </w:r>
      <w:r>
        <w:rPr>
          <w:rFonts w:eastAsia="TimesNewRomanPSMT"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eastAsia="TimesNewRomanPSMT" w:hAnsi="EuropeExtBold" w:cs="EuropeExtBold"/>
          <w:b/>
          <w:bCs/>
          <w:sz w:val="34"/>
          <w:szCs w:val="34"/>
        </w:rPr>
        <w:t>ДИЗАЙНА, СПРОЕКТИРОВАННЫХ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eastAsia="TimesNewRomanPSMT" w:hAnsi="EuropeExtBold" w:cs="EuropeExtBold"/>
          <w:b/>
          <w:bCs/>
          <w:sz w:val="34"/>
          <w:szCs w:val="34"/>
        </w:rPr>
      </w:pPr>
      <w:r>
        <w:rPr>
          <w:rFonts w:ascii="EuropeExtBold" w:eastAsia="TimesNewRomanPSMT" w:hAnsi="EuropeExtBold" w:cs="EuropeExtBold"/>
          <w:b/>
          <w:bCs/>
          <w:sz w:val="34"/>
          <w:szCs w:val="34"/>
        </w:rPr>
        <w:t>С ИСПОЛЬЗОВАНИЕМ ИСКУССТВЕННЫХ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eastAsia="TimesNewRomanPSMT" w:hAnsi="EuropeExtBold" w:cs="EuropeExtBold"/>
          <w:b/>
          <w:bCs/>
          <w:sz w:val="34"/>
          <w:szCs w:val="34"/>
        </w:rPr>
      </w:pPr>
      <w:r>
        <w:rPr>
          <w:rFonts w:ascii="EuropeExtBold" w:eastAsia="TimesNewRomanPSMT" w:hAnsi="EuropeExtBold" w:cs="EuropeExtBold"/>
          <w:b/>
          <w:bCs/>
          <w:sz w:val="34"/>
          <w:szCs w:val="34"/>
        </w:rPr>
        <w:t>ИНТЕЛЛЕКТУАЛЬНЫХ СИСТЕМ,</w:t>
      </w:r>
      <w:r>
        <w:rPr>
          <w:rFonts w:eastAsia="TimesNewRomanPSMT" w:cs="EuropeExtBold"/>
          <w:b/>
          <w:bCs/>
          <w:sz w:val="34"/>
          <w:szCs w:val="34"/>
        </w:rPr>
        <w:t xml:space="preserve"> </w:t>
      </w:r>
      <w:r>
        <w:rPr>
          <w:rFonts w:ascii="EuropeExtBold" w:eastAsia="TimesNewRomanPSMT" w:hAnsi="EuropeExtBold" w:cs="EuropeExtBold"/>
          <w:b/>
          <w:bCs/>
          <w:sz w:val="34"/>
          <w:szCs w:val="34"/>
        </w:rPr>
        <w:t>СОЗДАЮЩИХ НОВОЕ КАЧЕСТВО</w:t>
      </w:r>
      <w:r>
        <w:rPr>
          <w:rFonts w:eastAsia="TimesNewRomanPSMT" w:cs="EuropeExtBold"/>
          <w:b/>
          <w:bCs/>
          <w:sz w:val="34"/>
          <w:szCs w:val="34"/>
        </w:rPr>
        <w:t xml:space="preserve"> </w:t>
      </w:r>
      <w:r>
        <w:rPr>
          <w:rFonts w:ascii="EuropeExtBold" w:eastAsia="TimesNewRomanPSMT" w:hAnsi="EuropeExtBold" w:cs="EuropeExtBold"/>
          <w:b/>
          <w:bCs/>
          <w:sz w:val="34"/>
          <w:szCs w:val="34"/>
        </w:rPr>
        <w:t>ЛАНДШАФТА ДИЗАЙНА</w:t>
      </w:r>
      <w:r>
        <w:rPr>
          <w:rFonts w:eastAsia="TimesNewRomanPSMT"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eastAsia="TimesNewRomanPSMT" w:hAnsi="EuropeExtBold" w:cs="EuropeExtBold"/>
          <w:b/>
          <w:bCs/>
          <w:sz w:val="34"/>
          <w:szCs w:val="34"/>
        </w:rPr>
        <w:t>В ЖИЗНЕОБЕСПЕЧЕНИИ СОЦИУМА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При разработке</w:t>
      </w:r>
      <w:r w:rsidR="001A21BD"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 xml:space="preserve"> объектов дизайна в современных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художественных ст</w:t>
      </w:r>
      <w:r w:rsidR="001A21BD"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 xml:space="preserve">илях используются инновационные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решения в област</w:t>
      </w:r>
      <w:r w:rsidR="001A21BD"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и электроники, оптики, информа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ционных технолог</w:t>
      </w:r>
      <w:r w:rsidR="001A21BD"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 xml:space="preserve">ий, электротехники, позволяющие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реализовывать гибридизацию видов творчества —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преднамеренного ког</w:t>
      </w:r>
      <w:r w:rsidR="001A21BD"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нитивного и спонтанного эмоцио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нального — и межд</w:t>
      </w:r>
      <w:r w:rsidR="001A21BD"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 xml:space="preserve">исциплинарный подход в практике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NBIC-конвергенций.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cs="TimesNewRomanPSMT"/>
          <w:sz w:val="20"/>
          <w:szCs w:val="20"/>
        </w:rPr>
        <w:t xml:space="preserve">: </w:t>
      </w:r>
      <w:r>
        <w:rPr>
          <w:rFonts w:ascii="TimesNewRomanPSMT" w:eastAsia="TimesNewRomanPSMT" w:cs="TimesNewRomanPSMT" w:hint="eastAsia"/>
          <w:sz w:val="20"/>
          <w:szCs w:val="20"/>
        </w:rPr>
        <w:t>дизайн</w:t>
      </w:r>
      <w:r>
        <w:rPr>
          <w:rFonts w:ascii="TimesNewRomanPSMT" w:eastAsia="TimesNewRomanPSMT" w:cs="TimesNewRomanPSMT"/>
          <w:sz w:val="20"/>
          <w:szCs w:val="20"/>
        </w:rPr>
        <w:t xml:space="preserve">, </w:t>
      </w:r>
      <w:r>
        <w:rPr>
          <w:rFonts w:ascii="TimesNewRomanPSMT" w:eastAsia="TimesNewRomanPSMT" w:cs="TimesNewRomanPSMT" w:hint="eastAsia"/>
          <w:sz w:val="20"/>
          <w:szCs w:val="20"/>
        </w:rPr>
        <w:t>визуальные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когнитивные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информационные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динамические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системы</w:t>
      </w:r>
      <w:r>
        <w:rPr>
          <w:rFonts w:ascii="TimesNewRomanPSMT" w:eastAsia="TimesNewRomanPSMT" w:cs="TimesNewRomanPSMT"/>
          <w:sz w:val="20"/>
          <w:szCs w:val="20"/>
        </w:rPr>
        <w:t xml:space="preserve">, </w:t>
      </w:r>
      <w:r>
        <w:rPr>
          <w:rFonts w:ascii="TimesNewRomanPSMT" w:eastAsia="TimesNewRomanPSMT" w:cs="TimesNewRomanPSMT" w:hint="eastAsia"/>
          <w:sz w:val="20"/>
          <w:szCs w:val="20"/>
        </w:rPr>
        <w:t>системо</w:t>
      </w:r>
      <w:r>
        <w:rPr>
          <w:rFonts w:ascii="TimesNewRomanPSMT" w:eastAsia="TimesNewRomanPSMT" w:cs="TimesNewRomanPSMT"/>
          <w:sz w:val="20"/>
          <w:szCs w:val="20"/>
        </w:rPr>
        <w:t>-</w:t>
      </w:r>
    </w:p>
    <w:p w:rsidR="001C06BA" w:rsidRPr="001A21BD" w:rsidRDefault="001C06BA" w:rsidP="001A21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технические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исполнительные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устройства</w:t>
      </w:r>
      <w:r>
        <w:rPr>
          <w:rFonts w:ascii="TimesNewRomanPSMT" w:eastAsia="TimesNewRomanPSMT" w:cs="TimesNewRomanPSMT"/>
          <w:sz w:val="20"/>
          <w:szCs w:val="20"/>
        </w:rPr>
        <w:t xml:space="preserve">, </w:t>
      </w:r>
      <w:r>
        <w:rPr>
          <w:rFonts w:ascii="TimesNewRomanPSMT" w:eastAsia="TimesNewRomanPSMT" w:cs="TimesNewRomanPSMT" w:hint="eastAsia"/>
          <w:sz w:val="20"/>
          <w:szCs w:val="20"/>
        </w:rPr>
        <w:t>светодиоды</w:t>
      </w:r>
      <w:r w:rsidR="001A21BD">
        <w:rPr>
          <w:rFonts w:ascii="TimesNewRomanPSMT" w:eastAsia="TimesNewRomanPSMT" w:cs="TimesNewRomanPSMT"/>
          <w:sz w:val="20"/>
          <w:szCs w:val="20"/>
        </w:rPr>
        <w:t>,</w:t>
      </w:r>
      <w:r>
        <w:rPr>
          <w:rFonts w:ascii="TimesNewRomanPSMT" w:eastAsia="TimesNewRomanPSMT" w:cs="TimesNewRomanPSMT" w:hint="eastAsia"/>
          <w:sz w:val="20"/>
          <w:szCs w:val="20"/>
        </w:rPr>
        <w:t>гранат</w:t>
      </w:r>
      <w:r>
        <w:rPr>
          <w:rFonts w:ascii="TimesNewRomanPSMT" w:eastAsia="TimesNewRomanPSMT" w:cs="TimesNewRomanPSMT"/>
          <w:sz w:val="20"/>
          <w:szCs w:val="20"/>
        </w:rPr>
        <w:t xml:space="preserve">, </w:t>
      </w:r>
      <w:r>
        <w:rPr>
          <w:rFonts w:ascii="TimesNewRomanPSMT" w:eastAsia="TimesNewRomanPSMT" w:cs="TimesNewRomanPSMT" w:hint="eastAsia"/>
          <w:sz w:val="20"/>
          <w:szCs w:val="20"/>
        </w:rPr>
        <w:t>оптоволокно</w:t>
      </w:r>
      <w:r>
        <w:rPr>
          <w:rFonts w:ascii="TimesNewRomanPSMT" w:eastAsia="TimesNewRomanPSMT" w:cs="TimesNewRomanPSMT"/>
          <w:sz w:val="20"/>
          <w:szCs w:val="20"/>
        </w:rPr>
        <w:t xml:space="preserve">, </w:t>
      </w:r>
      <w:r>
        <w:rPr>
          <w:rFonts w:ascii="TimesNewRomanPSMT" w:eastAsia="TimesNewRomanPSMT" w:cs="TimesNewRomanPSMT" w:hint="eastAsia"/>
          <w:sz w:val="20"/>
          <w:szCs w:val="20"/>
        </w:rPr>
        <w:t>интерьер</w:t>
      </w:r>
      <w:r>
        <w:rPr>
          <w:rFonts w:ascii="TimesNewRomanPSMT" w:eastAsia="TimesNewRomanPSMT" w:cs="TimesNewRomanPSMT"/>
          <w:sz w:val="20"/>
          <w:szCs w:val="20"/>
        </w:rPr>
        <w:t xml:space="preserve">, </w:t>
      </w:r>
      <w:r>
        <w:rPr>
          <w:rFonts w:ascii="TimesNewRomanPSMT" w:eastAsia="TimesNewRomanPSMT" w:cs="TimesNewRomanPSMT" w:hint="eastAsia"/>
          <w:sz w:val="20"/>
          <w:szCs w:val="20"/>
        </w:rPr>
        <w:t>«</w:t>
      </w:r>
      <w:r>
        <w:rPr>
          <w:rFonts w:ascii="TimesNewRomanPSMT" w:eastAsia="TimesNewRomanPSMT" w:cs="TimesNewRomanPSMT" w:hint="eastAsia"/>
          <w:sz w:val="20"/>
          <w:szCs w:val="20"/>
        </w:rPr>
        <w:t>эмоциональный</w:t>
      </w:r>
      <w:r>
        <w:rPr>
          <w:rFonts w:ascii="TimesNewRomanPSMT" w:eastAsia="TimesNewRomanPSMT" w:cs="TimesNewRomanPSMT" w:hint="eastAsia"/>
          <w:sz w:val="20"/>
          <w:szCs w:val="20"/>
        </w:rPr>
        <w:t>»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стиль</w:t>
      </w:r>
      <w:r>
        <w:rPr>
          <w:rFonts w:ascii="TimesNewRomanPSMT" w:eastAsia="TimesNewRomanPSM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7.061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Т. Ю. Дерябина, Ю. С. Казарина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АУТЕНТИФИКАЦИЯ ИЗДЕЛИЙ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ДЕКОРАТИВНО-ПРИКЛАДНОГО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ИСКУССТВА С ЦЕЛЬЮ ПРОВЕРКИ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ПОДЛИННОСТИ ЭКСПОНАТОВ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НА INTERNET-АУКЦИОНАХ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Описано исслед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ование объекта декоративно-при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кладного искусства с 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целью проверки его подлинности.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Проведены атрибуция издели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я, продаваемого на Internet-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аукционе, и его сравнит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ельный анализ по ряду признаков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экспонатами Государственного Эрмитажа.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аутентификация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декоративно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прикладное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 w:rsidR="001A21BD">
        <w:rPr>
          <w:rFonts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аукцион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Императорский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фарфоровый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завод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проверка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подлинности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667.024.1 677.074.1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Н. А. Преснецова, Н. А. Мальгунова, А. М. Кисел</w:t>
      </w:r>
      <w:r>
        <w:rPr>
          <w:rFonts w:ascii="Arial-BoldMT" w:hAnsi="Arial-BoldMT" w:cs="Arial-BoldMT"/>
          <w:b/>
          <w:bCs/>
          <w:sz w:val="24"/>
          <w:szCs w:val="24"/>
        </w:rPr>
        <w:t>ё</w:t>
      </w:r>
      <w:r>
        <w:rPr>
          <w:rFonts w:ascii="EuropeExtBold" w:hAnsi="EuropeExtBold" w:cs="EuropeExtBold"/>
          <w:b/>
          <w:bCs/>
          <w:sz w:val="24"/>
          <w:szCs w:val="24"/>
        </w:rPr>
        <w:t>в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АВТОМАТИЗИРОВАННОЕ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ПРОЕКТИРОВАНИЕ ТКАНЫХ РИСУНКОВ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С</w:t>
      </w:r>
      <w:r>
        <w:rPr>
          <w:rFonts w:ascii="EuropeExtBold" w:hAnsi="EuropeExtBold" w:cs="EuropeExtBold"/>
          <w:b/>
          <w:bCs/>
          <w:sz w:val="34"/>
          <w:szCs w:val="34"/>
        </w:rPr>
        <w:t xml:space="preserve"> ЭФФЕКТОМ ОБЪЕМНОГО ВИЗУАЛЬНОГО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ВОСПРИЯТИЯ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воз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можности разработки текстильных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орнаментов с использ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ованием стереоэффекта способами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ремизного и жаккардового ткачества на основе теории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практики визуальног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о восприятия, ткачества и авто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матизированного проектирования тканей.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автоматизированное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текстильная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поверхность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природные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орнаменты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Pr="001A21BD" w:rsidRDefault="001C06BA" w:rsidP="001A21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раппорт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бинокулярное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зрение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восприятие</w:t>
      </w:r>
      <w:r w:rsidR="001A21BD">
        <w:rPr>
          <w:rFonts w:ascii="TimesNewRomanPSMT" w:eastAsia="TimesNewRomanPSMT" w:hAnsi="EuropeExt" w:cs="TimesNewRomanPSMT"/>
          <w:sz w:val="20"/>
          <w:szCs w:val="20"/>
        </w:rPr>
        <w:t>,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двухплоскостная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рельефная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визуализация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677.027:378.4:001.895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Н. А. Дромова, А. М. Кисел</w:t>
      </w:r>
      <w:r>
        <w:rPr>
          <w:rFonts w:ascii="Arial-BoldMT" w:hAnsi="Arial-BoldMT" w:cs="Arial-BoldMT"/>
          <w:b/>
          <w:bCs/>
          <w:sz w:val="24"/>
          <w:szCs w:val="24"/>
        </w:rPr>
        <w:t>ё</w:t>
      </w:r>
      <w:r>
        <w:rPr>
          <w:rFonts w:ascii="EuropeExtBold" w:hAnsi="EuropeExtBold" w:cs="EuropeExtBold"/>
          <w:b/>
          <w:bCs/>
          <w:sz w:val="24"/>
          <w:szCs w:val="24"/>
        </w:rPr>
        <w:t>в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ЕДИНСТВО ХУДОЖЕСТВЕННО-ТЕХНОЛОГИЧЕСКИХ НАПРАВЛЕНИЙ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ПРИ ПОДГОТОВКЕ УНИВЕРСАЛЬНЫХ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СПЕЦИАЛИСТОВ — ДИЗАЙНЕРОВ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ТЕКСТИЛЯ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Представлена 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информация о современных техно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логиях художественного проектирования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дизайна</w:t>
      </w:r>
      <w:r>
        <w:rPr>
          <w:rFonts w:ascii="TimesNewRomanPSMT" w:eastAsia="TimesNewRomanPSMT" w:hAnsi="EuropeExt" w:cs="TimesNewRomanPSMT"/>
          <w:sz w:val="20"/>
          <w:szCs w:val="20"/>
        </w:rPr>
        <w:t>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оформления тексти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льных изделий. С целью создания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конкурентоспособной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продукции текстильной и легкой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промышленности обоснована перспективность подго-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товки универсальных 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специалистов на базе интеграль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ного формирования художественных и тех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нологических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компетенций.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инновации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импортозамещение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нано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компетенция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специальные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компетенции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7.02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И. Гирсов, Л. Т. Жукова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ЛАЗЕРНАЯ М</w:t>
      </w:r>
      <w:r w:rsidR="001A21BD">
        <w:rPr>
          <w:rFonts w:ascii="EuropeExtBold" w:hAnsi="EuropeExtBold" w:cs="EuropeExtBold"/>
          <w:b/>
          <w:bCs/>
          <w:sz w:val="34"/>
          <w:szCs w:val="34"/>
        </w:rPr>
        <w:t>АРКИРОВКА</w:t>
      </w:r>
      <w:r w:rsidR="001A21B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ДИЗАЙНЕ ПРОМЫШЛЕННЫХ ИЗДЕЛИЙ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совр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еменные способы лазерной марки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ровки промышленны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х изделий. Предложена классифи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кация видов лазерной маркировки в контексте дизайна.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Приведены примеры пр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актического применения лазерной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маркировки в промышленности.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лазерные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тех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нологический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процесс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лазерная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маркировка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620.22: 667.12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Т. М. Иванцова, Л. В. Юферова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ОПРЕДЕЛЕНИЕ СВЕТОСТОЙКОСТИ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ТЕКСТИЛЬНЫХ МАТЕРИАЛОВ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Приведены результ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аты исследований по определению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светостойкости текс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тильных материалов из натураль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ных волокон и нитей. Оценка проведена по изменению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эстетических и механи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ческих свойств материалов после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светового воздействия. Установлено изменение окраск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уменьшение прочно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стных характеристик исследуемых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материалов, что рекомендовано учитывать при выборе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текстильных материалов для изделий и при проектиро-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вании дизайнерских объектов.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текстиль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натуральные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волокна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Pr="001A21BD" w:rsidRDefault="001C06BA" w:rsidP="001A21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долговечность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светостойкость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устойчивость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окраски</w:t>
      </w:r>
      <w:r w:rsidR="001A21BD">
        <w:rPr>
          <w:rFonts w:ascii="TimesNewRomanPSMT" w:eastAsia="TimesNewRomanPSMT" w:hAnsi="EuropeExt" w:cs="TimesNewRomanPSMT"/>
          <w:sz w:val="20"/>
          <w:szCs w:val="20"/>
        </w:rPr>
        <w:t>,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разрывная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нагрузка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разрывное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удлинение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658.512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В. Лянцевич, К. С. Ившин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Удмуртский государственный университет, г. Ижевск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ТИПОГРАФИКА РУКОТВОРНЫХ ИЗДАНИЙ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СТАРООБРЯДЧЕСКОЙ КУЛЬТУРЫ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РУССКОГО СЕВЕРА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 анализ рукот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ворных типографических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шрифтовых решени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й старообрядческих изданий Рус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ского Севера. Уделяет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ся внимание изучению архитекто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нической стороны сбо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рников, особенностям построения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стилистическим характеристикам.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графический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типографика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Pr="001A21BD" w:rsidRDefault="001C06BA" w:rsidP="001A21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верстка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модульная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сетка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рукотворные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издания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старообрядчество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Русский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Север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7.01; 008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М. Алексеев-Апраксин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дизайна;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ДИЗАЙН ДАЗАЙНА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Представлен куль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турологический очерк буддийских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художественных 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практик. Анализируются проблемы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изучения и интер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претации буддийского искусства.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Его история, соци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окультурные параметры, морфоло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гия, основы изобразительного канона и иконометри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Показано, что б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уддийское искусство оказывается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важным для современного мира не столько в логике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поиска и обнаружени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я новых имен, фигураций, сюжет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ных или методически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х обогащений, но, прежде всего,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мировоззренчески.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буддийское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восток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запад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межкультурное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взаимодействие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актуальное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7.02:37.016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О. В. Иванова, С. П. Рассадина, М. Л. Погорелова,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Ю. А. Костюкова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Костромской государственный университет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ДИЗАЙН-ОБРАЗОВАНИЕ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КАК ИНСТРУМЕНТ РАЗВИТИЯ РЕГИОНА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кон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цепция и возможности практиче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ской реализации дизай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н-образования на примере регио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нального инновационного образовательного центра.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Проанализированы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образовательные традиции и Ко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стромского регио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на. Предложены методологические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подходы к процессу построен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ия образовательного про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странства, спос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обствующие повышению туристской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инвестиционной привлекательности региона.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образование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регион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тра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диции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инновации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методы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обучения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образовательная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среда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A21BD" w:rsidRDefault="001A21BD" w:rsidP="001C06BA">
      <w:pPr>
        <w:rPr>
          <w:rFonts w:eastAsia="TimesNewRomanPSMT" w:cs="TimesNewRomanPSMT"/>
          <w:sz w:val="20"/>
          <w:szCs w:val="20"/>
        </w:rPr>
      </w:pPr>
    </w:p>
    <w:p w:rsidR="001A21BD" w:rsidRDefault="001A21BD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74.01/.09:7.033.3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К. Н. Сабур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Дизайн почтовой марки Сирии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 период французской военной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оккупации и французского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мандатного управления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(с 1920 по 1946 г.)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Рассматривается ис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тория появления и развития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почтовой марки в Сир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ии в период французской военной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оккупации и французского мандатного управления с 1920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 1946 г. Рассмо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трен дизайн выпущенных в данный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период почтовых маро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к, его характерные черты и раз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витие. Определены худо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жники, внесшие наибольший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вклад в становлен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ие дизайна почтовой марки Сирии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рассматриваемого периода.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почтовая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марка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надпечатка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Сирия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72/71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В. Сем</w:t>
      </w:r>
      <w:r>
        <w:rPr>
          <w:rFonts w:ascii="Arial-BoldMT" w:hAnsi="Arial-BoldMT" w:cs="Arial-BoldMT"/>
          <w:b/>
          <w:bCs/>
          <w:sz w:val="24"/>
          <w:szCs w:val="24"/>
        </w:rPr>
        <w:t>ё</w:t>
      </w:r>
      <w:r>
        <w:rPr>
          <w:rFonts w:ascii="EuropeExtBold" w:hAnsi="EuropeExtBold" w:cs="EuropeExtBold"/>
          <w:b/>
          <w:bCs/>
          <w:sz w:val="24"/>
          <w:szCs w:val="24"/>
        </w:rPr>
        <w:t>нова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ГОРОДСКАЯ СРЕДА: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ИДЕИ ДЛЯ НОВОГО ВРЕМЕНИ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Рассмотрены 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вопросы проектирования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городской среды, п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ричины, влияющие на комфорт ви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зуального пространс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тва. Представлена новая задача,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решение которой способно сделать городскую среду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более рациональной и гармоничной, речь идет о поиске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новых функций и свойств городского пространства.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городская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среда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комфортное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пространство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эргономика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пространственной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среды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креативная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экосистема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721.021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Н. Г. Дружинкина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 ВОПРОСУ О ТЕНДЕНЦИЯХ РАЗВИТИЯ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СОВРЕМЕННОГО СРЕДОВОГО ДИЗАЙНА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В РАБОТАХ ВЕДУЩИХ АРХИТЕКТОРОВ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щена методам работы современных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архитекторов. Рассматриваются 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художественные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особенности стиля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хай-тек. На примере творчества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Питера Айзенмана, 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Хундертвассера, Сантьяго Калат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равы, Захи Хадид, Тадао Андо раскрываются проблемы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формотворчества 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 градостроительстве. Отдельным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аспектом темы становятся современные подход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изучении вопросов развития архитектуры и дизайна.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градостроительство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метод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хай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стиль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проект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ландшафт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746.25:611.781.1:398.3 (091)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О. А. Печурина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СЕМАНТИКА УЗЛОВ И СЕТИ. Часть 2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Рассказывается о символических значениях узлов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сети в различных культурах.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нить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узел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сеть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плести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оберег</w:t>
      </w:r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символика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702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П. Кириенко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Т. Ю. Махова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В. Ю. Пиирайнен 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1 </w:t>
      </w:r>
      <w:r>
        <w:rPr>
          <w:rFonts w:ascii="EuropeExt" w:hAnsi="EuropeExt" w:cs="EuropeExt"/>
          <w:sz w:val="16"/>
          <w:szCs w:val="16"/>
        </w:rPr>
        <w:t>Сочинский государственный университет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Санкт-Петербургский горный университет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СЕМИОТИКА ИЗДЕЛИЙ ИЗ МЕТАЛЛА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КОНТЕКСТЕ ДЕКОРАТИВНО-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ПРИКЛАДНОГО ИСКУССТВА,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АРХИТЕКТУРЫ И ДИЗАЙНА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Рассматриваетс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я сопоставление знаковых систем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архитектуры, декоративно-прикладного иск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усства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дизайна посредством детали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материала</w:t>
      </w:r>
      <w:r>
        <w:rPr>
          <w:rFonts w:ascii="TimesNewRomanPSMT" w:eastAsia="TimesNewRomanPSMT" w:hAnsi="EuropeExt" w:cs="TimesNewRomanPSMT"/>
          <w:sz w:val="20"/>
          <w:szCs w:val="20"/>
        </w:rPr>
        <w:t>)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. Для осмы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сления художественн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ого языка металла как материала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следует обратиться к закономерностям и средствам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композиции. Опреде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ляющую роль тектоники обозначим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путем сравнения однородных пространственных ком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по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зиций из металла в декоративно-прикладном искусстве,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архитектуре и дизайне.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семиотика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знаковая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система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ху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дожественный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язык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металла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метафора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декоративно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прикладное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архитектура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C06BA" w:rsidRDefault="001C06BA" w:rsidP="001C06BA">
      <w:pPr>
        <w:rPr>
          <w:rFonts w:eastAsia="TimesNewRomanPSMT" w:cs="TimesNewRomanPSMT"/>
          <w:sz w:val="20"/>
          <w:szCs w:val="20"/>
        </w:rPr>
      </w:pP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004.9:378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М. Б. Суханов, Е. К. Ярославцева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C06BA" w:rsidRDefault="001A21BD" w:rsidP="001C06BA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технологии нелинейного монтажа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при создании социального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C06BA">
        <w:rPr>
          <w:rFonts w:ascii="EuropeExtBold" w:hAnsi="EuropeExtBold" w:cs="EuropeExtBold"/>
          <w:b/>
          <w:bCs/>
          <w:sz w:val="34"/>
          <w:szCs w:val="34"/>
        </w:rPr>
        <w:t>видеоролика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осн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>овные этапы и результаты приме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нения технологий н</w:t>
      </w:r>
      <w:r w:rsidR="001A21B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елинейного монтажа при создании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видеоролика, посвященного блокаде Ленинграда.</w:t>
      </w:r>
    </w:p>
    <w:p w:rsidR="001C06BA" w:rsidRDefault="001C06BA" w:rsidP="001C06B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информационные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при</w:t>
      </w:r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C06BA" w:rsidRPr="001A21BD" w:rsidRDefault="001C06BA" w:rsidP="001A21BD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кладная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информатика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дизайне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обучение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компетенции</w:t>
      </w:r>
      <w:r w:rsidR="001A21BD">
        <w:rPr>
          <w:rFonts w:ascii="TimesNewRomanPSMT" w:eastAsia="TimesNewRomanPSMT" w:hAnsi="EuropeExt" w:cs="TimesNewRomanPSMT"/>
          <w:sz w:val="20"/>
          <w:szCs w:val="20"/>
        </w:rPr>
        <w:t>,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видеоролик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нелинейный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монтаж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видеомонтаж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обработка</w:t>
      </w:r>
      <w:r w:rsidR="001A21BD">
        <w:rPr>
          <w:rFonts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фото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видео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стихи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воспитание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гражданина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выпускная</w:t>
      </w:r>
      <w:r w:rsidR="001A21BD">
        <w:rPr>
          <w:rFonts w:eastAsia="TimesNewRomanPSMT" w:cs="TimesNewRomanPSMT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NewRomanPSMT" w:eastAsia="TimesNewRomanPSMT" w:hAnsi="EuropeExt" w:cs="TimesNewRomanPSMT" w:hint="eastAsia"/>
          <w:sz w:val="20"/>
          <w:szCs w:val="20"/>
        </w:rPr>
        <w:t>квалификационная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работа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sectPr w:rsidR="001C06BA" w:rsidRPr="001A21BD" w:rsidSect="0054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uropeEx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6BA"/>
    <w:rsid w:val="001A21BD"/>
    <w:rsid w:val="001C06BA"/>
    <w:rsid w:val="00544965"/>
    <w:rsid w:val="00E06044"/>
    <w:rsid w:val="00E21792"/>
    <w:rsid w:val="00F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4DBD-F93E-4CCE-A37C-1EBB67BA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dcterms:created xsi:type="dcterms:W3CDTF">2018-02-08T10:55:00Z</dcterms:created>
  <dcterms:modified xsi:type="dcterms:W3CDTF">2018-02-08T10:55:00Z</dcterms:modified>
</cp:coreProperties>
</file>