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F2482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10.46418/1990–8997_2020_3 (59)_5 УДК 739 </w:t>
      </w:r>
    </w:p>
    <w:p w14:paraId="0BA85570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Л. Жуков, И. А. Коршунова </w:t>
      </w:r>
    </w:p>
    <w:p w14:paraId="53E264BB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2F3F38DE" w14:textId="77777777" w:rsidR="00C26E6F" w:rsidRP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C26E6F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СоцИАЛьнАя эСтАфетА метАфор АрхетИпоВ обрАзоВ ВИзУАЛьно–СИмВоЛьной КогнИтИВной ИнформАцИонной ДИнАмИчеСКой СИСтемы «фАУнА — орнИтоЛогИя И фЛорА — роД ДВУДоЛьных рАСтенИй» В СозДАнИИ юВеЛИрного ИзДеЛИя «ЛотоС В бАшне ЖеЛтого ЖУрАВЛя» </w:t>
      </w:r>
    </w:p>
    <w:p w14:paraId="27757BCF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Представлены результаты исследования когнитив- ного моделирования художественного образа ювелирных изделий на основе мифопоэтики орнитологических ассоциаций фауны — журавль и флоры — лотос — в китайской культуре.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611B81E6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визуально-символьные когнитивные информационные динамические системы, дизайн, юве- лирные изделия, журавль, лотос, Китай, поэзия Ли Бо. </w:t>
      </w:r>
    </w:p>
    <w:p w14:paraId="77533C41" w14:textId="77777777" w:rsidR="0098584C" w:rsidRDefault="0098584C">
      <w:pPr>
        <w:rPr>
          <w:lang w:val="en-US"/>
        </w:rPr>
      </w:pPr>
    </w:p>
    <w:p w14:paraId="4F3B7270" w14:textId="77777777" w:rsidR="00C26E6F" w:rsidRDefault="00C26E6F">
      <w:pPr>
        <w:rPr>
          <w:lang w:val="en-US"/>
        </w:rPr>
      </w:pPr>
    </w:p>
    <w:p w14:paraId="36A21106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10.46418/1990–8997_2020_3 (59)_15 УДК 7.02 </w:t>
      </w:r>
    </w:p>
    <w:p w14:paraId="0273E0F6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И.  </w:t>
      </w: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Сафронова, Л. А. Джикия,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С. 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розорова </w:t>
      </w:r>
    </w:p>
    <w:p w14:paraId="3289DF50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6E48BE67" w14:textId="77777777" w:rsidR="00C26E6F" w:rsidRP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C26E6F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ВоССтАноВЛенИе гУмАнИСтИчеСКИх ценноСтей В мИре моДы И ДИзАйнА </w:t>
      </w:r>
    </w:p>
    <w:p w14:paraId="77BD6B0D" w14:textId="540BF1F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Статья посвящена анализу прогнозов международных тренд-сеттеров, </w:t>
      </w:r>
      <w:r>
        <w:rPr>
          <w:rFonts w:ascii="Times" w:hAnsi="Times" w:cs="Times"/>
          <w:i/>
          <w:iCs/>
          <w:sz w:val="26"/>
          <w:szCs w:val="26"/>
          <w:lang w:val="en-US"/>
        </w:rPr>
        <w:lastRenderedPageBreak/>
        <w:t>специалистов и экспертов в сфере моды и дизайна из разных стран о будущем дизайн-индустрии в новых экономических условиях, карантине потребления, экологических выгодах и изменении философии жизни после пандемии.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Исследуются состояние дизайн-индустрии, изменения в производстве модных товаров, изменение психологии покупателей, различные направления в области дизайна и потребления моды, а также неизбежность изменений городского пространства и интерьеров, отвечающих новым графикам жизни — работы и отдыха.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38C0D8D2" w14:textId="65196DF5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пандемия, индустрия моды, прогнозирование актуальных тенденций, дизайн будущего. </w:t>
      </w:r>
    </w:p>
    <w:p w14:paraId="594AB6F2" w14:textId="77777777" w:rsidR="00C26E6F" w:rsidRDefault="00C26E6F">
      <w:pPr>
        <w:rPr>
          <w:lang w:val="en-US"/>
        </w:rPr>
      </w:pPr>
    </w:p>
    <w:p w14:paraId="225946C5" w14:textId="77777777" w:rsidR="00C26E6F" w:rsidRDefault="00C26E6F">
      <w:pPr>
        <w:rPr>
          <w:lang w:val="en-US"/>
        </w:rPr>
      </w:pPr>
    </w:p>
    <w:p w14:paraId="55FCB9C6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DOI: 10.46418/1990–8997_2020_3 (59) _22 УДК 74.01/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.09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+72.01 </w:t>
      </w:r>
    </w:p>
    <w:p w14:paraId="5B6FC256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Ч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ан Сяогэн </w:t>
      </w:r>
    </w:p>
    <w:p w14:paraId="697F3C2D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Санкт-Петербургская государственная художественно-промышленная академия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А. Л. Штиглица; Пекинский институт нефтехимических технологий </w:t>
      </w:r>
    </w:p>
    <w:p w14:paraId="51346982" w14:textId="77777777" w:rsidR="00C26E6F" w:rsidRP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C26E6F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оСмыСЛенИе теорИИ СреДоВого ДИзАйнА: СреДоВой поДхоД </w:t>
      </w:r>
    </w:p>
    <w:p w14:paraId="62C06DED" w14:textId="7F0803F8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Понятие «средовой подход» используется в разнообразных научных сферах, в том числе проектировании средового направления.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Настоящая работа посвящена поиску взаимосвязей между процессами формирования средового подхода в средовом дизайне и дизайне архитектурной среды.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Приведено схематичное обобщение анализа развития средового подхода в указанных облас- тях, подтвержденное практическим опытом.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0B4604CD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средовой дизайн, средовой подход, дизайн архитектурной среды, типологический подход, способ мышления, творческое сознание, ЭКСПО — 2010. </w:t>
      </w:r>
    </w:p>
    <w:p w14:paraId="1832EEF0" w14:textId="77777777" w:rsidR="00C26E6F" w:rsidRDefault="00C26E6F">
      <w:pPr>
        <w:rPr>
          <w:lang w:val="en-US"/>
        </w:rPr>
      </w:pPr>
    </w:p>
    <w:p w14:paraId="75052515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10.46418/1990–8997_2020_3 (59)_ 27 УДК 739 </w:t>
      </w:r>
    </w:p>
    <w:p w14:paraId="616C83CC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Л. Жуков </w:t>
      </w:r>
    </w:p>
    <w:p w14:paraId="1B091BFA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47830AC1" w14:textId="77777777" w:rsidR="00C26E6F" w:rsidRP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C26E6F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КогнИтИВные техноЛогИИ В СозДАнИИ обрАзА пАрюры «герАКЛ» нА оСноВе поСтнеКЛАССИчеСКой метоДоЛогИИ ИССЛеДоВАнИя ЛИтерАтУрных пАмятнИКоВ АнтИчноСтИ — «ИЛИАДы» гомерА </w:t>
      </w:r>
    </w:p>
    <w:p w14:paraId="09406C27" w14:textId="51206899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Проведено исследование влияния древнегреческой мифологии на создание когнитивной модели художественных образов в кластере ювелирных украшений предметной области объектов дизайна на основе механизма социальных эстафет.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0781C613" w14:textId="4BF56C0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древнегреческий пантеон, дизайн, ювелирные украшения, </w:t>
      </w:r>
      <w:r w:rsidR="0058019A">
        <w:rPr>
          <w:rFonts w:ascii="Times New Roman" w:hAnsi="Times New Roman" w:cs="Times New Roman"/>
          <w:sz w:val="26"/>
          <w:szCs w:val="26"/>
          <w:lang w:val="en-US"/>
        </w:rPr>
        <w:t>диадема, серьги, античная куль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тура, мифология, куматоид. </w:t>
      </w:r>
    </w:p>
    <w:p w14:paraId="18987955" w14:textId="77777777" w:rsidR="00C26E6F" w:rsidRDefault="00C26E6F">
      <w:pPr>
        <w:rPr>
          <w:lang w:val="en-US"/>
        </w:rPr>
      </w:pPr>
    </w:p>
    <w:p w14:paraId="2C736EB9" w14:textId="77777777" w:rsidR="00C26E6F" w:rsidRDefault="00C26E6F">
      <w:pPr>
        <w:rPr>
          <w:lang w:val="en-US"/>
        </w:rPr>
      </w:pPr>
    </w:p>
    <w:p w14:paraId="636B7590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10.46418/1990–8997_2020_3 (59)_37 УДК 687.151.2.016 </w:t>
      </w:r>
    </w:p>
    <w:p w14:paraId="2C8A04A8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И. В. Алексенко, И. С. Аксёнова, А. А. Старовойтова </w:t>
      </w:r>
    </w:p>
    <w:p w14:paraId="45E177B9" w14:textId="77777777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Омский государственный технический университет </w:t>
      </w:r>
    </w:p>
    <w:p w14:paraId="75BAD41D" w14:textId="77777777" w:rsidR="00C26E6F" w:rsidRP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C26E6F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оСобенноСтИ проеКтИроВАнИя СВАДебных пЛАтьеВ ДЛя ЖенЩИн реСпУбЛИКИ АЛтАй </w:t>
      </w:r>
    </w:p>
    <w:p w14:paraId="1B68498F" w14:textId="6F44D3CE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Рассматриваетс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я проблема, возникающая при вы</w:t>
      </w:r>
      <w:r>
        <w:rPr>
          <w:rFonts w:ascii="Times" w:hAnsi="Times" w:cs="Times"/>
          <w:i/>
          <w:iCs/>
          <w:sz w:val="26"/>
          <w:szCs w:val="26"/>
          <w:lang w:val="en-US"/>
        </w:rPr>
        <w:t>боре женщинами Республики Алтай свадебного платья из коллекций российских и зарубежных производителей.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Это связано с тем, что алтайское население имеет свои морфологические особенности, обусловленные природными условиями проживания, этнической принад- лежностью и метисацией.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Коренные алтайки и казашки достоверно отличаются от русских женщин более низкими антропометрическими показателями по росту; у казашек отмечены повышенные показатели индекса массы тела и относи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тельного содержания жира.</w:t>
      </w:r>
      <w:proofErr w:type="gramEnd"/>
      <w:r w:rsidR="0058019A"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 w:rsidR="0058019A">
        <w:rPr>
          <w:rFonts w:ascii="Times" w:hAnsi="Times" w:cs="Times"/>
          <w:i/>
          <w:iCs/>
          <w:sz w:val="26"/>
          <w:szCs w:val="26"/>
          <w:lang w:val="en-US"/>
        </w:rPr>
        <w:t>Пред</w:t>
      </w:r>
      <w:r>
        <w:rPr>
          <w:rFonts w:ascii="Times" w:hAnsi="Times" w:cs="Times"/>
          <w:i/>
          <w:iCs/>
          <w:sz w:val="26"/>
          <w:szCs w:val="26"/>
          <w:lang w:val="en-US"/>
        </w:rPr>
        <w:t>лагается проектирование свадебных платьев на одной конструктивной основе корсета, конструкция которого должна соответствовать пониженному росту коренных алтаек и предусматривать возможность корректировки посадки изделия для разных обхватных характеристик фигур алтайских женщин.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Разработаны эскизы моделей свадебных платьев на одной конструктивной основе корсета и рассмотрены методы обработки основных узлов изделия.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0ADAB185" w14:textId="12543426" w:rsidR="00C26E6F" w:rsidRDefault="00C26E6F" w:rsidP="00C26E6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св</w:t>
      </w:r>
      <w:r w:rsidR="0058019A">
        <w:rPr>
          <w:rFonts w:ascii="Times New Roman" w:hAnsi="Times New Roman" w:cs="Times New Roman"/>
          <w:sz w:val="26"/>
          <w:szCs w:val="26"/>
          <w:lang w:val="en-US"/>
        </w:rPr>
        <w:t>адебное платье, антропометриче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ские особенности коренных алтаек, корсет, семейство моделей, проектирование, технология изготовления. </w:t>
      </w:r>
    </w:p>
    <w:p w14:paraId="02D8E222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10.46418/1990–8997_2020_3 (59) _41 УДК 621.74 </w:t>
      </w:r>
    </w:p>
    <w:p w14:paraId="5567E946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А. Д. </w:t>
      </w: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итюцкий, Л. 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Ивлева </w:t>
      </w:r>
    </w:p>
    <w:p w14:paraId="0E6D01BF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Национальный исследовательский технологический университет «МИСиС», Москва </w:t>
      </w:r>
    </w:p>
    <w:p w14:paraId="06E8A24E" w14:textId="77777777" w:rsidR="00E4302F" w:rsidRP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E4302F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реАЛИзАцИя реКоменДАцИй по ИзготоВЛенИю моДеЛей ДЛя ЛИтья хУДоЖеСтВенных И юВеЛИрных ИзДеЛИй В СпрАВочном прогрАммном обеСпеченИИ </w:t>
      </w:r>
    </w:p>
    <w:p w14:paraId="25A73A5E" w14:textId="6B5F99CD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Приводятся рекомендации по выбору материала для реализации аддит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ивных технологий получения мо</w:t>
      </w:r>
      <w:r>
        <w:rPr>
          <w:rFonts w:ascii="Times" w:hAnsi="Times" w:cs="Times"/>
          <w:i/>
          <w:iCs/>
          <w:sz w:val="26"/>
          <w:szCs w:val="26"/>
          <w:lang w:val="en-US"/>
        </w:rPr>
        <w:t>делей для литья художественных и ювелирных изделий с целью снижения риска получения нежелательного результата при производстве отливок, что является высоковостребованной и актуальной задачей в области литейного производст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ва.</w:t>
      </w:r>
      <w:proofErr w:type="gramEnd"/>
      <w:r w:rsidR="0058019A"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 w:rsidR="0058019A">
        <w:rPr>
          <w:rFonts w:ascii="Times" w:hAnsi="Times" w:cs="Times"/>
          <w:i/>
          <w:iCs/>
          <w:sz w:val="26"/>
          <w:szCs w:val="26"/>
          <w:lang w:val="en-US"/>
        </w:rPr>
        <w:t>Описана реализация рекомен</w:t>
      </w:r>
      <w:r>
        <w:rPr>
          <w:rFonts w:ascii="Times" w:hAnsi="Times" w:cs="Times"/>
          <w:i/>
          <w:iCs/>
          <w:sz w:val="26"/>
          <w:szCs w:val="26"/>
          <w:lang w:val="en-US"/>
        </w:rPr>
        <w:t>даций в виде справочного программного обеспечения.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1B76EC30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аддитивные технологии, ювелирные изделия, художественное литье, 3D-печать, моделирование. </w:t>
      </w:r>
    </w:p>
    <w:p w14:paraId="3C4F9E37" w14:textId="77777777" w:rsidR="00C26E6F" w:rsidRDefault="00C26E6F">
      <w:pPr>
        <w:rPr>
          <w:lang w:val="en-US"/>
        </w:rPr>
      </w:pPr>
    </w:p>
    <w:p w14:paraId="55758756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10.46418/1990–8997_2020_3 (59) _47 УДК 745.55 </w:t>
      </w:r>
    </w:p>
    <w:p w14:paraId="18D5C28A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авлова,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И.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астепако </w:t>
      </w:r>
    </w:p>
    <w:p w14:paraId="5B94E8DF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Иркутский национальный исследовательский технический университет </w:t>
      </w:r>
    </w:p>
    <w:p w14:paraId="7AB68A73" w14:textId="77777777" w:rsidR="00E4302F" w:rsidRP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E4302F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ИСпоЛьзоВАнИе зУбоВ КороВы В КАчеСтВе нетрАДИцИонного юВеЛИрного мАтерИАЛА ДЛя ВСтАВоК В КоЛье-трАнСформер «тУр» </w:t>
      </w:r>
    </w:p>
    <w:p w14:paraId="47EA5D01" w14:textId="24058F52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Рассматривается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 xml:space="preserve"> технология обработки органиче</w:t>
      </w:r>
      <w:r>
        <w:rPr>
          <w:rFonts w:ascii="Times" w:hAnsi="Times" w:cs="Times"/>
          <w:i/>
          <w:iCs/>
          <w:sz w:val="26"/>
          <w:szCs w:val="26"/>
          <w:lang w:val="en-US"/>
        </w:rPr>
        <w:t>ского материала — зубов коровы, не использовавшегося ранее в дизайне.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После специальной обработки этот материал имеет красивую текстуру в спиле, цвет и матовый блеск, что п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озволяют использовать их в ка</w:t>
      </w:r>
      <w:r>
        <w:rPr>
          <w:rFonts w:ascii="Times" w:hAnsi="Times" w:cs="Times"/>
          <w:i/>
          <w:iCs/>
          <w:sz w:val="26"/>
          <w:szCs w:val="26"/>
          <w:lang w:val="en-US"/>
        </w:rPr>
        <w:t>честве вставок в личных украшениях класса бижутерия.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Подтверждением дизайнопригодности материала «зубы коровы» является разработка дизайн-проекта колье-трансформера «Тур».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04FED9B1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органические материалы, ювелирные изделия, изделия-трансформеры. </w:t>
      </w:r>
    </w:p>
    <w:p w14:paraId="3FF2051C" w14:textId="77777777" w:rsidR="00E4302F" w:rsidRDefault="00E4302F">
      <w:pPr>
        <w:rPr>
          <w:lang w:val="en-US"/>
        </w:rPr>
      </w:pPr>
    </w:p>
    <w:p w14:paraId="42BAEAA6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10.46418/1990−8997_2020_3 (59) _52 УДК 687.02 </w:t>
      </w:r>
    </w:p>
    <w:p w14:paraId="17C8B63A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А.  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" w:hAnsi="Times" w:cs="Times"/>
          <w:b/>
          <w:bCs/>
          <w:sz w:val="32"/>
          <w:szCs w:val="32"/>
          <w:lang w:val="en-US"/>
        </w:rPr>
        <w:t>ашева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, И. И. </w:t>
      </w:r>
      <w:r>
        <w:rPr>
          <w:rFonts w:ascii="Times New Roman" w:hAnsi="Times New Roman" w:cs="Times New Roman"/>
          <w:b/>
          <w:bCs/>
          <w:sz w:val="32"/>
          <w:szCs w:val="32"/>
        </w:rPr>
        <w:t>Ш</w:t>
      </w:r>
      <w:r>
        <w:rPr>
          <w:rFonts w:ascii="Times" w:hAnsi="Times" w:cs="Times"/>
          <w:b/>
          <w:bCs/>
          <w:sz w:val="32"/>
          <w:szCs w:val="32"/>
          <w:lang w:val="en-US"/>
        </w:rPr>
        <w:t>алмина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>1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" w:hAnsi="Times" w:cs="Times"/>
          <w:b/>
          <w:bCs/>
          <w:sz w:val="32"/>
          <w:szCs w:val="32"/>
          <w:lang w:val="en-US"/>
        </w:rPr>
        <w:t>. Андросова</w:t>
      </w:r>
      <w:r>
        <w:rPr>
          <w:rFonts w:ascii="Times" w:hAnsi="Times" w:cs="Times"/>
          <w:b/>
          <w:bCs/>
          <w:position w:val="13"/>
          <w:sz w:val="18"/>
          <w:szCs w:val="18"/>
          <w:lang w:val="en-US"/>
        </w:rPr>
        <w:t xml:space="preserve">2 </w:t>
      </w:r>
    </w:p>
    <w:p w14:paraId="0A039355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position w:val="10"/>
          <w:sz w:val="14"/>
          <w:szCs w:val="14"/>
          <w:lang w:val="en-US"/>
        </w:rPr>
        <w:t xml:space="preserve">1 </w:t>
      </w:r>
      <w:r>
        <w:rPr>
          <w:rFonts w:ascii="Times" w:hAnsi="Times" w:cs="Times"/>
          <w:sz w:val="22"/>
          <w:szCs w:val="22"/>
          <w:lang w:val="en-US"/>
        </w:rPr>
        <w:t>Омский государственный технический университет </w:t>
      </w:r>
      <w:r>
        <w:rPr>
          <w:rFonts w:ascii="Times" w:hAnsi="Times" w:cs="Times"/>
          <w:position w:val="10"/>
          <w:sz w:val="14"/>
          <w:szCs w:val="14"/>
          <w:lang w:val="en-US"/>
        </w:rPr>
        <w:t xml:space="preserve">2 </w:t>
      </w: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 и дизайна </w:t>
      </w:r>
    </w:p>
    <w:p w14:paraId="4637E990" w14:textId="430B7E95" w:rsidR="00E4302F" w:rsidRP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E4302F">
        <w:rPr>
          <w:rFonts w:ascii="Times" w:hAnsi="Times" w:cs="Times"/>
          <w:b/>
          <w:bCs/>
          <w:caps/>
          <w:sz w:val="46"/>
          <w:szCs w:val="46"/>
          <w:lang w:val="en-US"/>
        </w:rPr>
        <w:t>фор</w:t>
      </w:r>
      <w:r w:rsidR="0058019A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моВАнИе оДеЖДы С ИСпоЛьзоВАнИем </w:t>
      </w:r>
      <w:r w:rsidRPr="00E4302F">
        <w:rPr>
          <w:rFonts w:ascii="Times" w:hAnsi="Times" w:cs="Times"/>
          <w:b/>
          <w:bCs/>
          <w:caps/>
          <w:sz w:val="46"/>
          <w:szCs w:val="46"/>
          <w:lang w:val="en-US"/>
        </w:rPr>
        <w:t>роботоВ</w:t>
      </w:r>
      <w:r w:rsidR="0058019A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 </w:t>
      </w:r>
      <w:r w:rsidRPr="00E4302F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−мАнеКеноВ </w:t>
      </w:r>
    </w:p>
    <w:p w14:paraId="6A08104D" w14:textId="59E2FDEC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Рассматривается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 xml:space="preserve"> проблема формования и формоза</w:t>
      </w:r>
      <w:r>
        <w:rPr>
          <w:rFonts w:ascii="Times" w:hAnsi="Times" w:cs="Times"/>
          <w:i/>
          <w:iCs/>
          <w:sz w:val="26"/>
          <w:szCs w:val="26"/>
          <w:lang w:val="en-US"/>
        </w:rPr>
        <w:t>крепления одежды.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Для ее решения предложен принцип работы роботизированного манекена, имеющего под- вижные наружные элементы из нагреваемых пластин, которые перемещаются и принимают заданную форму поверхности одежды.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Манекен может быть использован для формования одежды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 xml:space="preserve"> и ее частей, а также для при</w:t>
      </w:r>
      <w:r>
        <w:rPr>
          <w:rFonts w:ascii="Times" w:hAnsi="Times" w:cs="Times"/>
          <w:i/>
          <w:iCs/>
          <w:sz w:val="26"/>
          <w:szCs w:val="26"/>
          <w:lang w:val="en-US"/>
        </w:rPr>
        <w:t>дания и закрепления окончательной формы одежды.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526655C1" w14:textId="1FC14ABA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формование одежды, роботи</w:t>
      </w:r>
      <w:r w:rsidR="0058019A">
        <w:rPr>
          <w:rFonts w:ascii="Times New Roman" w:hAnsi="Times New Roman" w:cs="Times New Roman"/>
          <w:sz w:val="26"/>
          <w:szCs w:val="26"/>
          <w:lang w:val="en-US"/>
        </w:rPr>
        <w:t>зиро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ванный манекен, изменяющий форму манекен, форма поверхности одежды. </w:t>
      </w:r>
    </w:p>
    <w:p w14:paraId="3AF4A9A6" w14:textId="77777777" w:rsidR="00E4302F" w:rsidRDefault="00E4302F">
      <w:pPr>
        <w:rPr>
          <w:lang w:val="en-US"/>
        </w:rPr>
      </w:pPr>
    </w:p>
    <w:p w14:paraId="571D2BA8" w14:textId="77777777" w:rsidR="00E4302F" w:rsidRDefault="00E4302F">
      <w:pPr>
        <w:rPr>
          <w:lang w:val="en-US"/>
        </w:rPr>
      </w:pPr>
    </w:p>
    <w:p w14:paraId="1520AA85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10.46418/1990−8997_2020_3 (59) _57 UDC 691.6 (045) </w:t>
      </w:r>
    </w:p>
    <w:p w14:paraId="213A65AB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M. M. Chernykh, А. A. Zagoruiko, A. O. Vorob’eva, I. N. Zagoruiko </w:t>
      </w:r>
    </w:p>
    <w:p w14:paraId="585B112F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Kalashnikov Izhevsk State Technical University </w:t>
      </w:r>
    </w:p>
    <w:p w14:paraId="38AF1D87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46"/>
          <w:szCs w:val="46"/>
          <w:lang w:val="en-US"/>
        </w:rPr>
        <w:t xml:space="preserve">FUSED GLASS FRITS PANELS APPLICATION IN LAMPS </w:t>
      </w:r>
    </w:p>
    <w:p w14:paraId="310C9BA3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 xml:space="preserve">The rational distance between a light source and a fused glassfritsdiffuser is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research.The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dependence of the panel’s scattering capacity on the size fraction and the fusing temperature is shown. The comfortable perception evaluating criteria of lighting that created by a lamp with a fused glassfritsdiffuser is established. </w:t>
      </w:r>
    </w:p>
    <w:p w14:paraId="4BBB7CA7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Keywords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lamp, diffuser, frits, fraction, texture. </w:t>
      </w:r>
    </w:p>
    <w:p w14:paraId="72A9F499" w14:textId="77777777" w:rsidR="00E4302F" w:rsidRDefault="00E4302F">
      <w:pPr>
        <w:rPr>
          <w:lang w:val="en-US"/>
        </w:rPr>
      </w:pPr>
    </w:p>
    <w:p w14:paraId="7D197AEE" w14:textId="77777777" w:rsidR="00E4302F" w:rsidRDefault="00E4302F">
      <w:pPr>
        <w:rPr>
          <w:lang w:val="en-US"/>
        </w:rPr>
      </w:pPr>
    </w:p>
    <w:p w14:paraId="558DE549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10.46418/1990−8997_2020_3 (59) _61 УДК 539.8 </w:t>
      </w:r>
    </w:p>
    <w:p w14:paraId="3FA1FFDB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уркина,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огуадзе, Ж. А. Лебедева </w:t>
      </w:r>
    </w:p>
    <w:p w14:paraId="44E14256" w14:textId="77777777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Балтийский государственный технический университет «ВОЕНМЕХ»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Д. Ф. Устинова, Санкт-Петербург </w:t>
      </w:r>
    </w:p>
    <w:p w14:paraId="10BAA58D" w14:textId="77777777" w:rsidR="00E4302F" w:rsidRP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E4302F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термопрочноСть эЛементоВ технИчеСКого фенА </w:t>
      </w:r>
    </w:p>
    <w:p w14:paraId="636DD090" w14:textId="7E9120FE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Были проведены расчеты на терм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опрочность на</w:t>
      </w:r>
      <w:r>
        <w:rPr>
          <w:rFonts w:ascii="Times" w:hAnsi="Times" w:cs="Times"/>
          <w:i/>
          <w:iCs/>
          <w:sz w:val="26"/>
          <w:szCs w:val="26"/>
          <w:lang w:val="en-US"/>
        </w:rPr>
        <w:t>гревательного элем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ента строительного фена, а так</w:t>
      </w:r>
      <w:r>
        <w:rPr>
          <w:rFonts w:ascii="Times" w:hAnsi="Times" w:cs="Times"/>
          <w:i/>
          <w:iCs/>
          <w:sz w:val="26"/>
          <w:szCs w:val="26"/>
          <w:lang w:val="en-US"/>
        </w:rPr>
        <w:t>же расчет распределения температур в тепловом потоке.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Расчеты были выполнены в программе ANSYS WORKBENCH/RANSIENT THERMAL.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 результате разработаны расчетные схемы, свидетельствующие о том, что осн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овные элементы фена имеют доста</w:t>
      </w:r>
      <w:r>
        <w:rPr>
          <w:rFonts w:ascii="Times" w:hAnsi="Times" w:cs="Times"/>
          <w:i/>
          <w:iCs/>
          <w:sz w:val="26"/>
          <w:szCs w:val="26"/>
          <w:lang w:val="en-US"/>
        </w:rPr>
        <w:t>точный запас прочности.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06E702F3" w14:textId="76646111" w:rsidR="00E4302F" w:rsidRDefault="00E4302F" w:rsidP="00E430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расче</w:t>
      </w:r>
      <w:r w:rsidR="0058019A">
        <w:rPr>
          <w:rFonts w:ascii="Times New Roman" w:hAnsi="Times New Roman" w:cs="Times New Roman"/>
          <w:sz w:val="26"/>
          <w:szCs w:val="26"/>
          <w:lang w:val="en-US"/>
        </w:rPr>
        <w:t>т на термопрочность, термопроч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ность, ANSYS WORKBENCH, TRANSIENT THERMAL. </w:t>
      </w:r>
    </w:p>
    <w:p w14:paraId="6768E790" w14:textId="77777777" w:rsidR="00E4302F" w:rsidRDefault="00E4302F">
      <w:pPr>
        <w:rPr>
          <w:lang w:val="en-US"/>
        </w:rPr>
      </w:pPr>
    </w:p>
    <w:p w14:paraId="338C1764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10.46418/1990−8997_2020_3 (59) _65 УДК 666.295.1 </w:t>
      </w:r>
    </w:p>
    <w:p w14:paraId="206A20D6" w14:textId="01AB7B23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А. Казачкова, </w:t>
      </w: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А. </w:t>
      </w: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ойко,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В. Корнеева </w:t>
      </w:r>
    </w:p>
    <w:p w14:paraId="227A6C7D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Российский технологический университет «МИРЭА», Москва </w:t>
      </w:r>
    </w:p>
    <w:p w14:paraId="4DA0BA78" w14:textId="77777777" w:rsidR="005349BB" w:rsidRP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5349BB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АнАЛИз ВЛИянИя реЛьефА КерАмИчеСКой поВерхноСтИ И метоДоВ гЛАзУроВАнИя нА оргАноЛептИчеСКИе хАрАКтерИСтИКИ гЛАзУрного поКрытИя </w:t>
      </w:r>
    </w:p>
    <w:p w14:paraId="51905827" w14:textId="47EF09AC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Предлагается подход к анализу влияния глубины рельефа и технолог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ии глазурования на органолепти</w:t>
      </w:r>
      <w:r>
        <w:rPr>
          <w:rFonts w:ascii="Times" w:hAnsi="Times" w:cs="Times"/>
          <w:i/>
          <w:iCs/>
          <w:sz w:val="26"/>
          <w:szCs w:val="26"/>
          <w:lang w:val="en-US"/>
        </w:rPr>
        <w:t>ческие характеристики, отвечающие за эстетичный вид поверхности ко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нечного изделия.</w:t>
      </w:r>
      <w:proofErr w:type="gramEnd"/>
      <w:r w:rsidR="0058019A"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 w:rsidR="0058019A">
        <w:rPr>
          <w:rFonts w:ascii="Times" w:hAnsi="Times" w:cs="Times"/>
          <w:i/>
          <w:iCs/>
          <w:sz w:val="26"/>
          <w:szCs w:val="26"/>
          <w:lang w:val="en-US"/>
        </w:rPr>
        <w:t>Вводятся пока</w:t>
      </w:r>
      <w:r>
        <w:rPr>
          <w:rFonts w:ascii="Times" w:hAnsi="Times" w:cs="Times"/>
          <w:i/>
          <w:iCs/>
          <w:sz w:val="26"/>
          <w:szCs w:val="26"/>
          <w:lang w:val="en-US"/>
        </w:rPr>
        <w:t>затели рельефа поверхности (параметры глубины рельефа Δ, парамет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р сохранения рельефа σ), приво</w:t>
      </w:r>
      <w:r>
        <w:rPr>
          <w:rFonts w:ascii="Times" w:hAnsi="Times" w:cs="Times"/>
          <w:i/>
          <w:iCs/>
          <w:sz w:val="26"/>
          <w:szCs w:val="26"/>
          <w:lang w:val="en-US"/>
        </w:rPr>
        <w:t>дятся примеры их применения для прогнозирования качества поверхности, в том числе глянца, матовости или эффектов сатиновой и бисквитной поверхности.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Данные показатели позволяют при разработке дизайна керамического изделия учитывать искажение рельефа изделия при глазуровании в 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зависимости от использу</w:t>
      </w:r>
      <w:r>
        <w:rPr>
          <w:rFonts w:ascii="Times" w:hAnsi="Times" w:cs="Times"/>
          <w:i/>
          <w:iCs/>
          <w:sz w:val="26"/>
          <w:szCs w:val="26"/>
          <w:lang w:val="en-US"/>
        </w:rPr>
        <w:t>емых методов нанес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ения покрытий и при определен</w:t>
      </w:r>
      <w:r>
        <w:rPr>
          <w:rFonts w:ascii="Times" w:hAnsi="Times" w:cs="Times"/>
          <w:i/>
          <w:iCs/>
          <w:sz w:val="26"/>
          <w:szCs w:val="26"/>
          <w:lang w:val="en-US"/>
        </w:rPr>
        <w:t>ных требованиях к качеству и конфигурации изделия, вносить корректировку в дизайн поверхности самого керамического черепка.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2992BB04" w14:textId="617ED871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г</w:t>
      </w:r>
      <w:r w:rsidR="0058019A">
        <w:rPr>
          <w:rFonts w:ascii="Times New Roman" w:hAnsi="Times New Roman" w:cs="Times New Roman"/>
          <w:sz w:val="26"/>
          <w:szCs w:val="26"/>
          <w:lang w:val="en-US"/>
        </w:rPr>
        <w:t>лазурь, глазурование, метод на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несения глазури, рельеф, органолептические свойства, показатели рельефа поверхности. </w:t>
      </w:r>
    </w:p>
    <w:p w14:paraId="5789F603" w14:textId="77777777" w:rsidR="005349BB" w:rsidRDefault="005349BB">
      <w:pPr>
        <w:rPr>
          <w:lang w:val="en-US"/>
        </w:rPr>
      </w:pPr>
    </w:p>
    <w:p w14:paraId="7D1D630A" w14:textId="77777777" w:rsidR="005349BB" w:rsidRDefault="005349BB">
      <w:pPr>
        <w:rPr>
          <w:lang w:val="en-US"/>
        </w:rPr>
      </w:pPr>
    </w:p>
    <w:p w14:paraId="6AA16351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>DOI: 10.46418/1990−8997_2020_3 (59) _70 УДК 74.01/</w:t>
      </w:r>
      <w:proofErr w:type="gramStart"/>
      <w:r>
        <w:rPr>
          <w:rFonts w:ascii="Times" w:hAnsi="Times" w:cs="Times"/>
          <w:b/>
          <w:bCs/>
          <w:sz w:val="22"/>
          <w:szCs w:val="22"/>
          <w:lang w:val="en-US"/>
        </w:rPr>
        <w:t>.09</w:t>
      </w:r>
      <w:proofErr w:type="gramEnd"/>
      <w:r>
        <w:rPr>
          <w:rFonts w:ascii="Times" w:hAnsi="Times" w:cs="Times"/>
          <w:b/>
          <w:bCs/>
          <w:sz w:val="22"/>
          <w:szCs w:val="22"/>
          <w:lang w:val="en-US"/>
        </w:rPr>
        <w:t xml:space="preserve"> </w:t>
      </w:r>
    </w:p>
    <w:p w14:paraId="4C6BFB28" w14:textId="3AF8DE68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ерехова, </w:t>
      </w: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А. Войтенко, Л.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утрим, </w:t>
      </w: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А. Коледова </w:t>
      </w:r>
    </w:p>
    <w:p w14:paraId="658F1A7A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Московский государственный технический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Н. Э. Баумана (Национальный исследовательский университет) </w:t>
      </w:r>
    </w:p>
    <w:p w14:paraId="3DF79835" w14:textId="77777777" w:rsidR="005349BB" w:rsidRP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5349BB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ДИзАйн−ИССЛеДоВАнИе ИСпытАтеЛьного СтенДА ДЛя ИзмеренИя пАрАметроВ И опреДеЛенИя хАрАКтерИСтИК поЛИмерных КомпозИтных мАтерИАЛоВ </w:t>
      </w:r>
    </w:p>
    <w:p w14:paraId="0333AE84" w14:textId="7C8D2461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Описывается кон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цептуальное дизайн-решение ис</w:t>
      </w:r>
      <w:r>
        <w:rPr>
          <w:rFonts w:ascii="Times" w:hAnsi="Times" w:cs="Times"/>
          <w:i/>
          <w:iCs/>
          <w:sz w:val="26"/>
          <w:szCs w:val="26"/>
          <w:lang w:val="en-US"/>
        </w:rPr>
        <w:t>пытательного стенда для полимерных композитных материалов.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Рассматриваются существующие варианты конструкций лабораторных установок для вычисления модуля упругости Юнга.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Показывается потребность в дизайн-проектировании оборудования для исследова- ния множественных новых многослойных композитных материалов, так как в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 xml:space="preserve"> высших учебных заведениях и иc</w:t>
      </w:r>
      <w:r>
        <w:rPr>
          <w:rFonts w:ascii="Times" w:hAnsi="Times" w:cs="Times"/>
          <w:i/>
          <w:iCs/>
          <w:sz w:val="26"/>
          <w:szCs w:val="26"/>
          <w:lang w:val="en-US"/>
        </w:rPr>
        <w:t>следовательских центрах для этих целей используются не специализированные установки и испытательные стенды, а установки для изучения свойств твердых материалов.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Дизайн-исследование проводится с целью выявления пользо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вательских характеристик и тре</w:t>
      </w:r>
      <w:r>
        <w:rPr>
          <w:rFonts w:ascii="Times" w:hAnsi="Times" w:cs="Times"/>
          <w:i/>
          <w:iCs/>
          <w:sz w:val="26"/>
          <w:szCs w:val="26"/>
          <w:lang w:val="en-US"/>
        </w:rPr>
        <w:t>бований к испытательному стенду для последующего дизайн-проектирования.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70BAB699" w14:textId="61841048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испытательный стенд, модуль Юнга, техническая эстетика, дизайн, проектирование, комп</w:t>
      </w:r>
      <w:r w:rsidR="0058019A">
        <w:rPr>
          <w:rFonts w:ascii="Times New Roman" w:hAnsi="Times New Roman" w:cs="Times New Roman"/>
          <w:sz w:val="26"/>
          <w:szCs w:val="26"/>
          <w:lang w:val="en-US"/>
        </w:rPr>
        <w:t>о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зитные материалы, упругие свойства. </w:t>
      </w:r>
    </w:p>
    <w:p w14:paraId="45FBF1B6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  <w:lang w:val="en-US"/>
        </w:rPr>
      </w:pPr>
    </w:p>
    <w:p w14:paraId="18DD9C68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10.46418/1990−8997_2020_3 (59) _74 УДК 7.031.2 </w:t>
      </w:r>
    </w:p>
    <w:p w14:paraId="08C60260" w14:textId="794DFF58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Ч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ужанова, Д.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Б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очкарева </w:t>
      </w:r>
    </w:p>
    <w:p w14:paraId="2F55C005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07B43A90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aps/>
          <w:sz w:val="46"/>
          <w:szCs w:val="46"/>
          <w:lang w:val="en-US"/>
        </w:rPr>
      </w:pPr>
      <w:r w:rsidRPr="005349BB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нАроДное ИСКУССтВо И нАроДное тВорчеСтВо морДоВИИ: ЖенСКИе этнИчеСКИе УКрАшенИя В морДоВСКом нАцИонАЛьном КоСтюме </w:t>
      </w:r>
    </w:p>
    <w:p w14:paraId="121DD447" w14:textId="76F45E5D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Рассматривается народное творчество на примере мордовского национального костюма, характерные особенности этни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ческих женских мордовских укра</w:t>
      </w:r>
      <w:r>
        <w:rPr>
          <w:rFonts w:ascii="Times" w:hAnsi="Times" w:cs="Times"/>
          <w:i/>
          <w:iCs/>
          <w:sz w:val="26"/>
          <w:szCs w:val="26"/>
          <w:lang w:val="en-US"/>
        </w:rPr>
        <w:t>шений.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Изучение художественного наследия народов России — одна из составляющих сохранения России и ее народностей в историческом времени и в современном контексте.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1D6570C7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Россия, Мордовия, народное твор- чество, мордовский национальный костюм, женские украшения. </w:t>
      </w:r>
    </w:p>
    <w:p w14:paraId="4049DAE4" w14:textId="77777777" w:rsidR="005349BB" w:rsidRP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</w:p>
    <w:p w14:paraId="3BC32208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10.46418/1990−8997_2020_3 (59) _80 УДК 745/749:643/645 </w:t>
      </w:r>
    </w:p>
    <w:p w14:paraId="47FD6E50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В. Л. Жуков, Д. С. Колотушкин </w:t>
      </w:r>
    </w:p>
    <w:p w14:paraId="607DD1FF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55EE02CB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caps/>
          <w:sz w:val="46"/>
          <w:szCs w:val="46"/>
          <w:lang w:val="en-US"/>
        </w:rPr>
      </w:pPr>
      <w:r w:rsidRPr="005349BB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ретроСпеКтИВА обрАзоВ ИСточнИКоВ СВетоВой И тепЛоВой энергИИ «тАбИтИ» В Интерьере «ЖИВИтеЛьнАя СИЛА неУгАСИмого огня прАСЛАВян» </w:t>
      </w:r>
    </w:p>
    <w:p w14:paraId="081DC576" w14:textId="3439D8D3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Проводили иссле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дования образов предметной об</w:t>
      </w:r>
      <w:r>
        <w:rPr>
          <w:rFonts w:ascii="Times" w:hAnsi="Times" w:cs="Times"/>
          <w:i/>
          <w:iCs/>
          <w:sz w:val="26"/>
          <w:szCs w:val="26"/>
          <w:lang w:val="en-US"/>
        </w:rPr>
        <w:t>ласти объектов дизайна, организующих жизненное пространство человека, представленных доминантами композиции интерьера в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 xml:space="preserve"> зоне гостиной жилого загород</w:t>
      </w:r>
      <w:r>
        <w:rPr>
          <w:rFonts w:ascii="Times" w:hAnsi="Times" w:cs="Times"/>
          <w:i/>
          <w:iCs/>
          <w:sz w:val="26"/>
          <w:szCs w:val="26"/>
          <w:lang w:val="en-US"/>
        </w:rPr>
        <w:t>ного строительства.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792CF3DD" w14:textId="6E0FF841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Осуществлен прое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кт в ретроспективе второй при</w:t>
      </w:r>
      <w:r>
        <w:rPr>
          <w:rFonts w:ascii="Times" w:hAnsi="Times" w:cs="Times"/>
          <w:i/>
          <w:iCs/>
          <w:sz w:val="26"/>
          <w:szCs w:val="26"/>
          <w:lang w:val="en-US"/>
        </w:rPr>
        <w:t>роды славяно-скифского этноса с элементы декора аксессуаров — экр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ан для камина отопительно-свет</w:t>
      </w:r>
      <w:r w:rsidR="0058019A">
        <w:rPr>
          <w:rFonts w:ascii="Times New Roman" w:hAnsi="Times New Roman" w:cs="Times New Roman"/>
          <w:i/>
          <w:iCs/>
          <w:sz w:val="26"/>
          <w:szCs w:val="26"/>
        </w:rPr>
        <w:t>о</w:t>
      </w:r>
      <w:r>
        <w:rPr>
          <w:rFonts w:ascii="Times" w:hAnsi="Times" w:cs="Times"/>
          <w:i/>
          <w:iCs/>
          <w:sz w:val="26"/>
          <w:szCs w:val="26"/>
          <w:lang w:val="en-US"/>
        </w:rPr>
        <w:t>вого комплекса помещ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ений, который является компо</w:t>
      </w:r>
      <w:r>
        <w:rPr>
          <w:rFonts w:ascii="Times" w:hAnsi="Times" w:cs="Times"/>
          <w:i/>
          <w:iCs/>
          <w:sz w:val="26"/>
          <w:szCs w:val="26"/>
          <w:lang w:val="en-US"/>
        </w:rPr>
        <w:t>зиционным центром загородного дома, выполняющим функциональную и эстетическую нагрузку.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4C9467BC" w14:textId="0C304681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ин</w:t>
      </w:r>
      <w:r w:rsidR="0058019A">
        <w:rPr>
          <w:rFonts w:ascii="Times New Roman" w:hAnsi="Times New Roman" w:cs="Times New Roman"/>
          <w:sz w:val="26"/>
          <w:szCs w:val="26"/>
          <w:lang w:val="en-US"/>
        </w:rPr>
        <w:t>терьер, онтологическая и семио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тическая реальность, семантическая сеть, предметная область объектов дизайна, камин-светильник, историзм, NBICS-конвергенции. </w:t>
      </w:r>
    </w:p>
    <w:p w14:paraId="26EE19D0" w14:textId="77777777" w:rsidR="005349BB" w:rsidRP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</w:p>
    <w:p w14:paraId="77D86449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10.46418/1990−8997_2020_3 (59) _96 УДК 702 </w:t>
      </w:r>
    </w:p>
    <w:p w14:paraId="438C48FE" w14:textId="4AB07799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Дружинкина </w:t>
      </w:r>
    </w:p>
    <w:p w14:paraId="77D91781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5E67AAE5" w14:textId="77777777" w:rsidR="005349BB" w:rsidRP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5349BB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АрхИтеКтУрные мотИВы В СоВременном ДеКорАтИВно− прИКЛАДном ИСКУССтВе </w:t>
      </w:r>
    </w:p>
    <w:p w14:paraId="178312B2" w14:textId="0F875262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Рассматривают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ся особенности применения архи</w:t>
      </w:r>
      <w:r>
        <w:rPr>
          <w:rFonts w:ascii="Times" w:hAnsi="Times" w:cs="Times"/>
          <w:i/>
          <w:iCs/>
          <w:sz w:val="26"/>
          <w:szCs w:val="26"/>
          <w:lang w:val="en-US"/>
        </w:rPr>
        <w:t xml:space="preserve">тектурных мотивов в современном 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декоративно-при</w:t>
      </w:r>
      <w:r>
        <w:rPr>
          <w:rFonts w:ascii="Times" w:hAnsi="Times" w:cs="Times"/>
          <w:i/>
          <w:iCs/>
          <w:sz w:val="26"/>
          <w:szCs w:val="26"/>
          <w:lang w:val="en-US"/>
        </w:rPr>
        <w:t>кладном искусстве, прежде всего, ювелирном.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Изучается специфика архитектурных моделей и их использование в декоративно-прикладном искусстве.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Выявляется роль стилизации, масшт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аба, образного звучания архите</w:t>
      </w:r>
      <w:r w:rsidR="0058019A">
        <w:rPr>
          <w:rFonts w:ascii="Times New Roman" w:hAnsi="Times New Roman" w:cs="Times New Roman"/>
          <w:i/>
          <w:iCs/>
          <w:sz w:val="26"/>
          <w:szCs w:val="26"/>
        </w:rPr>
        <w:t>к</w:t>
      </w:r>
      <w:r>
        <w:rPr>
          <w:rFonts w:ascii="Times" w:hAnsi="Times" w:cs="Times"/>
          <w:i/>
          <w:iCs/>
          <w:sz w:val="26"/>
          <w:szCs w:val="26"/>
          <w:lang w:val="en-US"/>
        </w:rPr>
        <w:t>турного памятника в воплощении мини-модели изделия ювелирного искусства.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1A70F83B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архитектурные модели, ювелирное искусство, декоративно-прикладное искусство, проект, мини-модель, архитектурный мотив. </w:t>
      </w:r>
    </w:p>
    <w:p w14:paraId="6D74B3B3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</w:p>
    <w:p w14:paraId="25AEB4A3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10.46418/1990−8997_2020_3 (59) _101 УДК 725.95 </w:t>
      </w:r>
    </w:p>
    <w:p w14:paraId="3A549301" w14:textId="2B000321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Ч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ужанова, К. А. Косякова </w:t>
      </w:r>
    </w:p>
    <w:p w14:paraId="59985345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43BF69F7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 w:rsidRPr="005349BB">
        <w:rPr>
          <w:rFonts w:ascii="Times" w:hAnsi="Times" w:cs="Times"/>
          <w:b/>
          <w:bCs/>
          <w:caps/>
          <w:sz w:val="46"/>
          <w:szCs w:val="46"/>
          <w:lang w:val="en-US"/>
        </w:rPr>
        <w:t>АрхИтеКтУрА моСтоВ САнКт−петербУргА.</w:t>
      </w:r>
      <w:proofErr w:type="gramEnd"/>
      <w:r w:rsidRPr="005349BB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 моСт ИмперАторА петрА ВеЛИКого (ныне боЛьшеохтИнСКИй) В юбИЛейный гоД побеДы петрА I В поЛтАВСКой бИтВе</w:t>
      </w:r>
      <w:r>
        <w:rPr>
          <w:rFonts w:ascii="Times" w:hAnsi="Times" w:cs="Times"/>
          <w:b/>
          <w:bCs/>
          <w:sz w:val="46"/>
          <w:szCs w:val="46"/>
          <w:lang w:val="en-US"/>
        </w:rPr>
        <w:t xml:space="preserve"> </w:t>
      </w:r>
    </w:p>
    <w:p w14:paraId="7DA17F87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Рассматривается история основания города-порта Санкт-Петербурга, уделяется внимание его важной водной артерии — реке Неве.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Особое значение для Санкт- Петербурга — градостроительное, транспортное, архитектурное — имеет мост императора Петра Великого (ныне Большеохтинский мост) через реку Неву.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Анализируется конструкция, материалы раз- личных элементов моста, строительные технологии.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Проведен поиск моделей Большеохтинского моста.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Проанализировано значение моста для современного декоративно-прикладного искусства.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Мост императора Петра Великого — Большеохтинский мост сравнивается с Эйфелевой башней.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37A65B79" w14:textId="4D1AA761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 xml:space="preserve">Ключевые слова: </w:t>
      </w:r>
      <w:r>
        <w:rPr>
          <w:rFonts w:ascii="Times New Roman" w:hAnsi="Times New Roman" w:cs="Times New Roman"/>
          <w:sz w:val="26"/>
          <w:szCs w:val="26"/>
          <w:lang w:val="en-US"/>
        </w:rPr>
        <w:t>Петр I, Санкт-Петербург, Северная война, Балтийский ф</w:t>
      </w:r>
      <w:r w:rsidR="0058019A">
        <w:rPr>
          <w:rFonts w:ascii="Times New Roman" w:hAnsi="Times New Roman" w:cs="Times New Roman"/>
          <w:sz w:val="26"/>
          <w:szCs w:val="26"/>
          <w:lang w:val="en-US"/>
        </w:rPr>
        <w:t>лот, река Нева, мосты Санкт-Пе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тербурга, архитектура моста, мост императора Петра Великого — Большеохтинский мост. </w:t>
      </w:r>
    </w:p>
    <w:p w14:paraId="6B6D679F" w14:textId="77777777" w:rsidR="005349BB" w:rsidRDefault="005349BB">
      <w:pPr>
        <w:rPr>
          <w:lang w:val="en-US"/>
        </w:rPr>
      </w:pPr>
    </w:p>
    <w:p w14:paraId="04100D7F" w14:textId="77777777" w:rsidR="005349BB" w:rsidRDefault="005349BB">
      <w:pPr>
        <w:rPr>
          <w:lang w:val="en-US"/>
        </w:rPr>
      </w:pPr>
    </w:p>
    <w:p w14:paraId="185D2BEF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10.46418/1990−8997_2020_3 (59) _105 УДК 721.021 </w:t>
      </w:r>
    </w:p>
    <w:p w14:paraId="496B2CBE" w14:textId="2B2F9E3A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Дружинкина </w:t>
      </w:r>
    </w:p>
    <w:p w14:paraId="2FA0425A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тенологий и дизайна </w:t>
      </w:r>
    </w:p>
    <w:p w14:paraId="321E3B8E" w14:textId="77777777" w:rsidR="005349BB" w:rsidRP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5349BB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УрбАнИзм И ДезУрбАнИзм: пробЛемА ВоССозДАнИя эКо−СреДы </w:t>
      </w:r>
    </w:p>
    <w:p w14:paraId="6DA1ED2C" w14:textId="5557422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Рассматриваются при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нципы проектирования, кон</w:t>
      </w:r>
      <w:r>
        <w:rPr>
          <w:rFonts w:ascii="Times" w:hAnsi="Times" w:cs="Times"/>
          <w:i/>
          <w:iCs/>
          <w:sz w:val="26"/>
          <w:szCs w:val="26"/>
          <w:lang w:val="en-US"/>
        </w:rPr>
        <w:t>цепции урбанизма и дезурбанизма.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Композиционные закономерности предметно-пространственной среды выявляются на примерах работ ведущих архитекторов.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Изучается история вопроса и современные подходы создания городской эко-среды.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7814AB30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 xml:space="preserve">Ключевые слова: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урбанизм, дезурбанизм, архитектура, город, дизайн, экология. </w:t>
      </w:r>
    </w:p>
    <w:p w14:paraId="76E2811F" w14:textId="77777777" w:rsidR="005349BB" w:rsidRDefault="005349BB">
      <w:pPr>
        <w:rPr>
          <w:lang w:val="en-US"/>
        </w:rPr>
      </w:pPr>
    </w:p>
    <w:p w14:paraId="4BF85A88" w14:textId="77777777" w:rsidR="005349BB" w:rsidRDefault="005349BB">
      <w:pPr>
        <w:rPr>
          <w:lang w:val="en-US"/>
        </w:rPr>
      </w:pPr>
    </w:p>
    <w:p w14:paraId="2CE57F8F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10.46418/1990−8997_2020_3 (59) _111 УДК 539.434:677.494 </w:t>
      </w:r>
    </w:p>
    <w:p w14:paraId="7B5B50DC" w14:textId="56E7BFCA" w:rsidR="005349BB" w:rsidRDefault="00C51AB6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5349BB">
        <w:rPr>
          <w:rFonts w:ascii="Times" w:hAnsi="Times" w:cs="Times"/>
          <w:b/>
          <w:bCs/>
          <w:sz w:val="32"/>
          <w:szCs w:val="32"/>
          <w:lang w:val="en-US"/>
        </w:rPr>
        <w:t xml:space="preserve">. А.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5349BB">
        <w:rPr>
          <w:rFonts w:ascii="Times" w:hAnsi="Times" w:cs="Times"/>
          <w:b/>
          <w:bCs/>
          <w:sz w:val="32"/>
          <w:szCs w:val="32"/>
          <w:lang w:val="en-US"/>
        </w:rPr>
        <w:t xml:space="preserve">горова, И.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5349BB"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5349BB">
        <w:rPr>
          <w:rFonts w:ascii="Times" w:hAnsi="Times" w:cs="Times"/>
          <w:b/>
          <w:bCs/>
          <w:sz w:val="32"/>
          <w:szCs w:val="32"/>
          <w:lang w:val="en-US"/>
        </w:rPr>
        <w:t xml:space="preserve">горов, </w:t>
      </w: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5349BB">
        <w:rPr>
          <w:rFonts w:ascii="Times" w:hAnsi="Times" w:cs="Times"/>
          <w:b/>
          <w:bCs/>
          <w:sz w:val="32"/>
          <w:szCs w:val="32"/>
          <w:lang w:val="en-US"/>
        </w:rPr>
        <w:t xml:space="preserve">. В. </w:t>
      </w: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5349BB">
        <w:rPr>
          <w:rFonts w:ascii="Times" w:hAnsi="Times" w:cs="Times"/>
          <w:b/>
          <w:bCs/>
          <w:sz w:val="32"/>
          <w:szCs w:val="32"/>
          <w:lang w:val="en-US"/>
        </w:rPr>
        <w:t xml:space="preserve">ереборова, А. А.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5349BB">
        <w:rPr>
          <w:rFonts w:ascii="Times" w:hAnsi="Times" w:cs="Times"/>
          <w:b/>
          <w:bCs/>
          <w:sz w:val="32"/>
          <w:szCs w:val="32"/>
          <w:lang w:val="en-US"/>
        </w:rPr>
        <w:t xml:space="preserve">акарова </w:t>
      </w:r>
    </w:p>
    <w:p w14:paraId="793A05CC" w14:textId="77777777" w:rsid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sz w:val="22"/>
          <w:szCs w:val="22"/>
          <w:lang w:val="en-US"/>
        </w:rPr>
        <w:t xml:space="preserve">Санкт-Петербургский государственный университет промышленных технологий и дизайна </w:t>
      </w:r>
    </w:p>
    <w:p w14:paraId="41FD694E" w14:textId="7E9CF9AD" w:rsidR="005349BB" w:rsidRPr="005349BB" w:rsidRDefault="005349BB" w:rsidP="005349B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5349BB">
        <w:rPr>
          <w:rFonts w:ascii="Times" w:hAnsi="Times" w:cs="Times"/>
          <w:b/>
          <w:bCs/>
          <w:caps/>
          <w:sz w:val="46"/>
          <w:szCs w:val="46"/>
          <w:lang w:val="en-US"/>
        </w:rPr>
        <w:t>рАз</w:t>
      </w:r>
      <w:r w:rsidR="0058019A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рАботКА метоДоВ мАтемАтИчеСКого </w:t>
      </w:r>
      <w:r w:rsidRPr="005349BB">
        <w:rPr>
          <w:rFonts w:ascii="Times" w:hAnsi="Times" w:cs="Times"/>
          <w:b/>
          <w:bCs/>
          <w:caps/>
          <w:sz w:val="46"/>
          <w:szCs w:val="46"/>
          <w:lang w:val="en-US"/>
        </w:rPr>
        <w:t>моДеЛИроВАнИя И СИСтемного АнАЛИзА фУнКцИонАЛьно</w:t>
      </w:r>
      <w:r w:rsidR="0058019A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 </w:t>
      </w:r>
      <w:r w:rsidRPr="005349BB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−эКСпЛУАтАцИонных СВойСтВ поЛИАмИДных тКАней ДЛя пАрАшютоСтроенИя </w:t>
      </w:r>
    </w:p>
    <w:p w14:paraId="35792CDE" w14:textId="4DB01F6A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Рассматриваются методы системного анализа при исследовании релаксационных и деформационных процессов полиамидных тканей для куполов парашютов.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Системный анализ п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роводится на основе математиче</w:t>
      </w:r>
      <w:r>
        <w:rPr>
          <w:rFonts w:ascii="Times" w:hAnsi="Times" w:cs="Times"/>
          <w:i/>
          <w:iCs/>
          <w:sz w:val="26"/>
          <w:szCs w:val="26"/>
          <w:lang w:val="en-US"/>
        </w:rPr>
        <w:t>ского моделирования и компьютерного прогнозирования деформационно-релаксационных процессов, являющихся основополагающими процессами в теории вязкоупругости полимеров, и позвол</w:t>
      </w:r>
      <w:r w:rsidR="0058019A">
        <w:rPr>
          <w:rFonts w:ascii="Times" w:hAnsi="Times" w:cs="Times"/>
          <w:i/>
          <w:iCs/>
          <w:sz w:val="26"/>
          <w:szCs w:val="26"/>
          <w:lang w:val="en-US"/>
        </w:rPr>
        <w:t>яет в дальнейшем выявить мате</w:t>
      </w:r>
      <w:r>
        <w:rPr>
          <w:rFonts w:ascii="Times" w:hAnsi="Times" w:cs="Times"/>
          <w:i/>
          <w:iCs/>
          <w:sz w:val="26"/>
          <w:szCs w:val="26"/>
          <w:lang w:val="en-US"/>
        </w:rPr>
        <w:t>риалы, обладающие наилучшими эксплуатационными и функциональными свойствами.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04BB21AF" w14:textId="5DA6C1A2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 w:rsidR="0058019A">
        <w:rPr>
          <w:rFonts w:ascii="Times New Roman" w:hAnsi="Times New Roman" w:cs="Times New Roman"/>
          <w:sz w:val="26"/>
          <w:szCs w:val="26"/>
          <w:lang w:val="en-US"/>
        </w:rPr>
        <w:t>: полимерные материалы, вязкоу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пругость, деформационные процессы, математическое моделирование, релаксация, ползучесть, компьютерное прогнозирование, системный анализ, парашютостроение, полиамидные ткани. </w:t>
      </w:r>
    </w:p>
    <w:p w14:paraId="11B5E442" w14:textId="77777777" w:rsidR="005349BB" w:rsidRDefault="005349BB">
      <w:pPr>
        <w:rPr>
          <w:lang w:val="en-US"/>
        </w:rPr>
      </w:pPr>
    </w:p>
    <w:p w14:paraId="2E573D48" w14:textId="77777777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10.46418/1990−8997_2020_3 (59) _118 УДК 075.8 </w:t>
      </w:r>
    </w:p>
    <w:p w14:paraId="63D6C547" w14:textId="1331CFCE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устафаев, </w:t>
      </w: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уркина, А. </w:t>
      </w:r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Красильников </w:t>
      </w:r>
    </w:p>
    <w:p w14:paraId="415B11A1" w14:textId="77777777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Балтийский государственный технический университет «ВОЕНМЕХ»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Д. Ф. Устинова, Санкт-Петербург </w:t>
      </w:r>
    </w:p>
    <w:p w14:paraId="5DC02959" w14:textId="77777777" w:rsidR="00C51AB6" w:rsidRP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C51AB6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УСоВершенСтВоВАнИе техноЛогИИ гИбКого шАрнИрА ДЛя точноСтИ АнАЛИтИчеСКИх ВеСоВ </w:t>
      </w:r>
    </w:p>
    <w:p w14:paraId="355DF9A0" w14:textId="77777777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Проведено усовершенствование датчика аналити- ческих весов типа «Моноблок» с помощью современных инженерных методов расчета.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Расчеты датчика элек- тронных весов выполнены в программах «detasFLEX» и «ANSYS WORKBENCH».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Последовательные улучшения конструкции датчика электронных весов позволили обеспечить необходимые точность и коэффициент безопасности конструкции.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713E2F90" w14:textId="2257CCBA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>: эле</w:t>
      </w:r>
      <w:r w:rsidR="0058019A">
        <w:rPr>
          <w:rFonts w:ascii="Times New Roman" w:hAnsi="Times New Roman" w:cs="Times New Roman"/>
          <w:sz w:val="26"/>
          <w:szCs w:val="26"/>
          <w:lang w:val="en-US"/>
        </w:rPr>
        <w:t>ктронные весы, датчик электрон</w:t>
      </w:r>
      <w:r>
        <w:rPr>
          <w:rFonts w:ascii="Times New Roman" w:hAnsi="Times New Roman" w:cs="Times New Roman"/>
          <w:sz w:val="26"/>
          <w:szCs w:val="26"/>
          <w:lang w:val="en-US"/>
        </w:rPr>
        <w:t>ных весов, ANSYS WORKBENCH, detasFLEX, дефор- мация, точность измерения, коэффициент безопасности.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A07F2AB" w14:textId="77777777" w:rsidR="00C51AB6" w:rsidRDefault="00C51AB6">
      <w:pPr>
        <w:rPr>
          <w:lang w:val="en-US"/>
        </w:rPr>
      </w:pPr>
    </w:p>
    <w:p w14:paraId="79B3893E" w14:textId="77777777" w:rsidR="00C51AB6" w:rsidRDefault="00C51AB6">
      <w:pPr>
        <w:rPr>
          <w:lang w:val="en-US"/>
        </w:rPr>
      </w:pPr>
    </w:p>
    <w:p w14:paraId="01BD9CBC" w14:textId="77777777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DOI: 10.46418/1990−8997_2020_3 (59) _122 </w:t>
      </w:r>
    </w:p>
    <w:p w14:paraId="62328819" w14:textId="77777777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22"/>
          <w:szCs w:val="22"/>
          <w:lang w:val="en-US"/>
        </w:rPr>
        <w:t xml:space="preserve">УДК 7.012.23 </w:t>
      </w:r>
    </w:p>
    <w:p w14:paraId="479C22F1" w14:textId="36866074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b/>
          <w:bCs/>
          <w:sz w:val="32"/>
          <w:szCs w:val="32"/>
          <w:lang w:val="en-US"/>
        </w:rPr>
        <w:t xml:space="preserve">К. </w:t>
      </w:r>
      <w:r>
        <w:rPr>
          <w:rFonts w:ascii="Times New Roman" w:hAnsi="Times New Roman" w:cs="Times New Roman"/>
          <w:b/>
          <w:bCs/>
          <w:sz w:val="32"/>
          <w:szCs w:val="32"/>
        </w:rPr>
        <w:t>Г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Куртова, </w:t>
      </w:r>
      <w:r>
        <w:rPr>
          <w:rFonts w:ascii="Times New Roman" w:hAnsi="Times New Roman" w:cs="Times New Roman"/>
          <w:b/>
          <w:bCs/>
          <w:sz w:val="32"/>
          <w:szCs w:val="32"/>
        </w:rPr>
        <w:t>Н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</w:rPr>
        <w:t>Ю</w:t>
      </w:r>
      <w:r>
        <w:rPr>
          <w:rFonts w:ascii="Times" w:hAnsi="Times" w:cs="Times"/>
          <w:b/>
          <w:bCs/>
          <w:sz w:val="32"/>
          <w:szCs w:val="32"/>
          <w:lang w:val="en-US"/>
        </w:rPr>
        <w:t xml:space="preserve">. Казакова </w:t>
      </w:r>
    </w:p>
    <w:p w14:paraId="4BF54BB2" w14:textId="77777777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sz w:val="22"/>
          <w:szCs w:val="22"/>
          <w:lang w:val="en-US"/>
        </w:rPr>
        <w:t>Российский государственный университет им.</w:t>
      </w:r>
      <w:proofErr w:type="gramEnd"/>
      <w:r>
        <w:rPr>
          <w:rFonts w:ascii="Times" w:hAnsi="Times" w:cs="Times"/>
          <w:sz w:val="22"/>
          <w:szCs w:val="22"/>
          <w:lang w:val="en-US"/>
        </w:rPr>
        <w:t xml:space="preserve"> А. Н. Косыгина (Технологии. Дизайн. Искусство), Москва </w:t>
      </w:r>
    </w:p>
    <w:p w14:paraId="1C65C4D5" w14:textId="77777777" w:rsidR="00C51AB6" w:rsidRP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aps/>
          <w:lang w:val="en-US"/>
        </w:rPr>
      </w:pPr>
      <w:r w:rsidRPr="00C51AB6">
        <w:rPr>
          <w:rFonts w:ascii="Times" w:hAnsi="Times" w:cs="Times"/>
          <w:b/>
          <w:bCs/>
          <w:caps/>
          <w:sz w:val="46"/>
          <w:szCs w:val="46"/>
          <w:lang w:val="en-US"/>
        </w:rPr>
        <w:t xml:space="preserve">понятИе ноВых меДИА И ВеКторы Их рАзВИтИя В ДИзАйне И ИСКУССтВе </w:t>
      </w:r>
    </w:p>
    <w:p w14:paraId="0CA52C64" w14:textId="77777777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Представлены актуальные вопросы развития Новых медиа.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  <w:proofErr w:type="gramStart"/>
      <w:r>
        <w:rPr>
          <w:rFonts w:ascii="Times" w:hAnsi="Times" w:cs="Times"/>
          <w:i/>
          <w:iCs/>
          <w:sz w:val="26"/>
          <w:szCs w:val="26"/>
          <w:lang w:val="en-US"/>
        </w:rPr>
        <w:t>Дано определение Новых медиа, рассмотрены их виды, приведены примеры современных медиа, выявлены динамика и вектор их развития в электронной среде.</w:t>
      </w:r>
      <w:proofErr w:type="gramEnd"/>
      <w:r>
        <w:rPr>
          <w:rFonts w:ascii="Times" w:hAnsi="Times" w:cs="Times"/>
          <w:i/>
          <w:iCs/>
          <w:sz w:val="26"/>
          <w:szCs w:val="26"/>
          <w:lang w:val="en-US"/>
        </w:rPr>
        <w:t xml:space="preserve"> </w:t>
      </w:r>
    </w:p>
    <w:p w14:paraId="37A49EB1" w14:textId="7E8D49F9" w:rsidR="00C51AB6" w:rsidRDefault="00C51AB6" w:rsidP="00C51AB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rPr>
          <w:rFonts w:ascii="Times" w:hAnsi="Times" w:cs="Times"/>
          <w:i/>
          <w:iCs/>
          <w:sz w:val="26"/>
          <w:szCs w:val="26"/>
          <w:lang w:val="en-US"/>
        </w:rPr>
        <w:t>Ключевые слова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: дизайн, Новые медиа, мультимедиа, кроссмедиа, трансмедиа, медиадизайн, медиаискусство, цифровая среда, электронная среда, </w:t>
      </w:r>
      <w:r>
        <w:rPr>
          <w:rFonts w:ascii="Times New Roman" w:hAnsi="Times New Roman" w:cs="Times New Roman"/>
          <w:color w:val="202020"/>
          <w:sz w:val="26"/>
          <w:szCs w:val="26"/>
          <w:lang w:val="en-US"/>
        </w:rPr>
        <w:t>онлайн-технологии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интерактивность, модель, проектирование, </w:t>
      </w:r>
      <w:r w:rsidR="0058019A">
        <w:rPr>
          <w:rFonts w:ascii="Times New Roman" w:hAnsi="Times New Roman" w:cs="Times New Roman"/>
          <w:color w:val="0E0E0E"/>
          <w:sz w:val="26"/>
          <w:szCs w:val="26"/>
          <w:lang w:val="en-US"/>
        </w:rPr>
        <w:t>3D-техно</w:t>
      </w:r>
      <w:bookmarkStart w:id="0" w:name="_GoBack"/>
      <w:bookmarkEnd w:id="0"/>
      <w:r>
        <w:rPr>
          <w:rFonts w:ascii="Times New Roman" w:hAnsi="Times New Roman" w:cs="Times New Roman"/>
          <w:color w:val="0E0E0E"/>
          <w:sz w:val="26"/>
          <w:szCs w:val="26"/>
          <w:lang w:val="en-US"/>
        </w:rPr>
        <w:t>логии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14:paraId="77A4F8F2" w14:textId="77777777" w:rsidR="00C51AB6" w:rsidRPr="00E4302F" w:rsidRDefault="00C51AB6">
      <w:pPr>
        <w:rPr>
          <w:lang w:val="en-US"/>
        </w:rPr>
      </w:pPr>
    </w:p>
    <w:sectPr w:rsidR="00C51AB6" w:rsidRPr="00E4302F" w:rsidSect="003C77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6F"/>
    <w:rsid w:val="003C77B0"/>
    <w:rsid w:val="005349BB"/>
    <w:rsid w:val="0058019A"/>
    <w:rsid w:val="0098584C"/>
    <w:rsid w:val="00BC2D7C"/>
    <w:rsid w:val="00C26E6F"/>
    <w:rsid w:val="00C51AB6"/>
    <w:rsid w:val="00E4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77B7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2586</Words>
  <Characters>14742</Characters>
  <Application>Microsoft Macintosh Word</Application>
  <DocSecurity>0</DocSecurity>
  <Lines>122</Lines>
  <Paragraphs>34</Paragraphs>
  <ScaleCrop>false</ScaleCrop>
  <Company/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5</cp:revision>
  <dcterms:created xsi:type="dcterms:W3CDTF">2020-11-02T07:54:00Z</dcterms:created>
  <dcterms:modified xsi:type="dcterms:W3CDTF">2020-11-02T08:15:00Z</dcterms:modified>
</cp:coreProperties>
</file>