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658.5.512.2; 687.1.01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В. Ю. Юрков, Ж. А. Фот, И. И.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Шалмина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462F60" w:rsidRDefault="00190EA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ФОРМАЛИЗАЦИЯ ПРОЦЕССА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РАЗРАБОТКИ ЭСКИЗА костюма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ОСНОВЕ ТЕОРИИ построения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 xml:space="preserve">систем </w:t>
      </w:r>
      <w:proofErr w:type="spellStart"/>
      <w:r w:rsidR="00462F60">
        <w:rPr>
          <w:rFonts w:ascii="EuropeExtBold" w:hAnsi="EuropeExtBold" w:cs="EuropeExtBold"/>
          <w:b/>
          <w:bCs/>
          <w:sz w:val="34"/>
          <w:szCs w:val="34"/>
        </w:rPr>
        <w:t>пропорционирования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Предложен способ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пропорционирования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структуры костюма, основанный на разработанной авторами теории</w:t>
      </w:r>
      <w:r w:rsidR="0080750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построения систем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пропорционирования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алгоритма</w:t>
      </w:r>
      <w:r w:rsidR="0080750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расчета гармоничны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х пропорциональных </w:t>
      </w:r>
      <w:proofErr w:type="spell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соотношений</w:t>
      </w:r>
      <w:proofErr w:type="gram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еория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апробирована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 примере автоматизированного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модуля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пропорциони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рования</w:t>
      </w:r>
      <w:proofErr w:type="spellEnd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позволяющего генерировать гармоничные варианты проектируемой модели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основе анализа базового эскиза и синтеза систем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пропорционирования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композиционная</w:t>
      </w:r>
      <w:proofErr w:type="spellEnd"/>
      <w:proofErr w:type="gram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пропорционирования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костюм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462F60" w:rsidRDefault="00462F60" w:rsidP="00462F60"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томатизированное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72.04.01+666.3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К.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Лапунова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Я. В. Лазарева, М. Е. Некрасова, В. Д. Котляр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Донской государственный строительный университет, г. Ростов-на-Дону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</w:t>
      </w:r>
      <w:r w:rsidR="00190EA0">
        <w:rPr>
          <w:rFonts w:ascii="EuropeExtBold" w:hAnsi="EuropeExtBold" w:cs="EuropeExtBold"/>
          <w:b/>
          <w:bCs/>
          <w:sz w:val="34"/>
          <w:szCs w:val="34"/>
        </w:rPr>
        <w:t>ЗАЙН И ПРИМЕНЕНИЕ В АРХИТЕКТУРЕ</w:t>
      </w:r>
      <w:r w:rsidR="00190EA0">
        <w:rPr>
          <w:rFonts w:cs="EuropeExtBold"/>
          <w:b/>
          <w:bCs/>
          <w:sz w:val="34"/>
          <w:szCs w:val="34"/>
        </w:rPr>
        <w:t xml:space="preserve"> </w:t>
      </w:r>
      <w:r w:rsidR="00190EA0">
        <w:rPr>
          <w:rFonts w:ascii="EuropeExtBold" w:hAnsi="EuropeExtBold" w:cs="EuropeExtBold"/>
          <w:b/>
          <w:bCs/>
          <w:sz w:val="34"/>
          <w:szCs w:val="34"/>
        </w:rPr>
        <w:t>ФАСАДНЫХ КЕРАМИЧЕСКИХ ПЛИТ</w:t>
      </w:r>
      <w:r w:rsidR="00190EA0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ОСНОВЕ АРГИЛЛИТОПОДОБНЫХ ГЛИН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 воп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росы применения и дизайна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фасадных керамически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х плит в современном строитель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стве. Подчеркивается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перспективность и актуальность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данного направления.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Предлагаются варианты разрабо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танных фасадных керамических плит по форме, фактуре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поверхности, цветовым 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характеристикам, комбина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торным решениям,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монтажу и т. д. Аргументирован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выбор сырья для их п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роизводства — </w:t>
      </w:r>
      <w:proofErr w:type="spell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аргиллитоподобные</w:t>
      </w:r>
      <w:proofErr w:type="spellEnd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глины — 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представ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лены их основные характеристики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свойства получаемых изделий.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керамика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керамическая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плита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вентилируемые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фасады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динамика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фактура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аргиллитоподобные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глины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комбинаторные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решения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543E31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эстетика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90EA0" w:rsidRDefault="00190EA0" w:rsidP="00462F60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687.021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А. Гусева, Е. Г. Андреева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Российский государственный университет им. А. Н. Косыгина, Москва</w:t>
      </w:r>
    </w:p>
    <w:p w:rsidR="00462F60" w:rsidRDefault="00190EA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Изменение основных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конструктивных прибавок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 </w:t>
      </w:r>
      <w:r w:rsidR="00190EA0">
        <w:rPr>
          <w:rFonts w:ascii="EuropeExtBold" w:hAnsi="EuropeExtBold" w:cs="EuropeExtBold"/>
          <w:b/>
          <w:bCs/>
          <w:sz w:val="34"/>
          <w:szCs w:val="34"/>
        </w:rPr>
        <w:t>меховых изделиях</w:t>
      </w:r>
      <w:r w:rsidR="00190EA0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 зависимости от покроя рукавов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результ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аты эмпирического изучения кон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структивных параметр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ов меховой одежды, представлен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ной в российских магази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нах. Исследовано влияние покроя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рукавов на прибавки на свободное облегание на уровн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груди, талии и бедер 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 учетом свойств пушно-мехового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полуфабриката. Пред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ставлены рекомендации по выбору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конструктивных приб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авок при проектировании меховых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изделий разных покроев.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натурального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струирование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прибавки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свободное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облегание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покрой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рукава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высота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волосяного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покрова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шкурок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7.02+621.3+621.81/82 (07)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В. С. Токарева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lastRenderedPageBreak/>
        <w:t>ЮВЕЛИРНЫЕ УКРАШЕНИЯ,</w:t>
      </w:r>
      <w:r w:rsidR="00190EA0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 xml:space="preserve">ПРЕДСТАВЛЕННЫЕ </w:t>
      </w:r>
      <w:r w:rsidR="00190EA0">
        <w:rPr>
          <w:rFonts w:ascii="EuropeExtBold" w:hAnsi="EuropeExtBold" w:cs="EuropeExtBold"/>
          <w:b/>
          <w:bCs/>
          <w:sz w:val="34"/>
          <w:szCs w:val="34"/>
        </w:rPr>
        <w:t>ВИЗУАЛЬНОЙ</w:t>
      </w:r>
      <w:r w:rsidR="00190EA0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КОГНИТИВНОЙ ИНФОРМАЦИОННОЙ</w:t>
      </w:r>
    </w:p>
    <w:p w:rsidR="00462F60" w:rsidRDefault="00190EA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ДИНАМИЧЕСКОЙ СИСТЕМОЙ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 ГЕОМЕТРИЧЕСКИМИ ПАРАМЕТРАМИ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ОСНОВЕ ДОМИНАНТНЫХ ЭЛЕМЕНТОВ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ОКРУЖНОСТИ И КВАДРАТА,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В СТИЛЕ МОДЕРНИЗМ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Исследован ал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горитм создания художественного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образа и разработки технологии изготовления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парю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ры</w:t>
      </w:r>
      <w:proofErr w:type="spellEnd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выполненной из белог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 и желтого золота со вставками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эмали и природных сап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фиров. Проведен анализ стилевых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особенностей модерни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зма и его эстетики в интеграции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современной культурой украшений.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462F60" w:rsidRPr="00190EA0" w:rsidRDefault="00462F60" w:rsidP="00190EA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онная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модернизм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Л. Т. Жукова, Д. Э. Кузнецов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190EA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Улучшение эстетических свойств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ювелирн</w:t>
      </w:r>
      <w:r>
        <w:rPr>
          <w:rFonts w:ascii="EuropeExtBold" w:hAnsi="EuropeExtBold" w:cs="EuropeExtBold"/>
          <w:b/>
          <w:bCs/>
          <w:sz w:val="34"/>
          <w:szCs w:val="34"/>
        </w:rPr>
        <w:t>ых изделий.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Изменение цветовых характеристик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ювелирных изделий и вставок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18"/>
          <w:szCs w:val="18"/>
        </w:rPr>
      </w:pPr>
      <w:proofErr w:type="spellStart"/>
      <w:proofErr w:type="gramStart"/>
      <w:r>
        <w:rPr>
          <w:rFonts w:ascii="TimesNewRomanPS-BoldMT" w:eastAsia="TimesNewRomanPS-BoldMT" w:hAnsi="EuropeExt" w:cs="TimesNewRomanPS-BoldMT" w:hint="eastAsia"/>
          <w:b/>
          <w:bCs/>
          <w:sz w:val="18"/>
          <w:szCs w:val="18"/>
        </w:rPr>
        <w:t>Рис</w:t>
      </w:r>
      <w:proofErr w:type="spellEnd"/>
      <w:r>
        <w:rPr>
          <w:rFonts w:ascii="TimesNewRomanPS-BoldMT" w:eastAsia="TimesNewRomanPS-BoldMT" w:hAnsi="EuropeExt" w:cs="TimesNewRomanPS-BoldMT"/>
          <w:b/>
          <w:bCs/>
          <w:sz w:val="18"/>
          <w:szCs w:val="18"/>
        </w:rPr>
        <w:t>. 1</w:t>
      </w:r>
      <w:r>
        <w:rPr>
          <w:rFonts w:ascii="TimesNewRomanPSMT" w:eastAsia="TimesNewRomanPSMT" w:hAnsi="EuropeExt" w:cs="TimesNewRomanPSMT"/>
          <w:sz w:val="18"/>
          <w:szCs w:val="18"/>
        </w:rPr>
        <w:t>.</w:t>
      </w:r>
      <w:proofErr w:type="gram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Расположение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вставок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под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центральным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камнем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r>
        <w:rPr>
          <w:rFonts w:ascii="TimesNewRomanPSMT" w:eastAsia="TimesNewRomanPSMT" w:hAnsi="EuropeExt" w:cs="TimesNewRomanPSMT" w:hint="eastAsia"/>
          <w:sz w:val="18"/>
          <w:szCs w:val="18"/>
        </w:rPr>
        <w:t>в</w:t>
      </w:r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ка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>-</w:t>
      </w:r>
    </w:p>
    <w:p w:rsidR="00462F60" w:rsidRP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18"/>
          <w:szCs w:val="18"/>
          <w:lang w:val="en-US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18"/>
          <w:szCs w:val="18"/>
        </w:rPr>
        <w:t>стовой</w:t>
      </w:r>
      <w:proofErr w:type="spellEnd"/>
      <w:proofErr w:type="gramEnd"/>
      <w:r w:rsidRPr="00462F60">
        <w:rPr>
          <w:rFonts w:ascii="TimesNewRomanPSMT" w:eastAsia="TimesNewRomanPSMT" w:hAnsi="EuropeExt" w:cs="TimesNewRomanPSMT"/>
          <w:sz w:val="18"/>
          <w:szCs w:val="18"/>
          <w:lang w:val="en-US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18"/>
          <w:szCs w:val="18"/>
        </w:rPr>
        <w:t>закрепке</w:t>
      </w:r>
      <w:proofErr w:type="spellEnd"/>
    </w:p>
    <w:p w:rsidR="00462F60" w:rsidRP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18"/>
          <w:szCs w:val="18"/>
          <w:lang w:val="en-US"/>
        </w:rPr>
      </w:pPr>
      <w:proofErr w:type="gramStart"/>
      <w:r w:rsidRPr="00462F60">
        <w:rPr>
          <w:rFonts w:ascii="TimesNewRomanPS-BoldMT" w:eastAsia="TimesNewRomanPS-BoldMT" w:hAnsi="EuropeExt" w:cs="TimesNewRomanPS-BoldMT"/>
          <w:b/>
          <w:bCs/>
          <w:sz w:val="18"/>
          <w:szCs w:val="18"/>
          <w:lang w:val="en-US"/>
        </w:rPr>
        <w:t>Fig. 1</w:t>
      </w:r>
      <w:r w:rsidRPr="00462F60">
        <w:rPr>
          <w:rFonts w:ascii="TimesNewRomanPSMT" w:eastAsia="TimesNewRomanPSMT" w:hAnsi="EuropeExt" w:cs="TimesNewRomanPSMT"/>
          <w:sz w:val="18"/>
          <w:szCs w:val="18"/>
          <w:lang w:val="en-US"/>
        </w:rPr>
        <w:t>.</w:t>
      </w:r>
      <w:proofErr w:type="gramEnd"/>
      <w:r w:rsidRPr="00462F60">
        <w:rPr>
          <w:rFonts w:ascii="TimesNewRomanPSMT" w:eastAsia="TimesNewRomanPSMT" w:hAnsi="EuropeExt" w:cs="TimesNewRomanPSMT"/>
          <w:sz w:val="18"/>
          <w:szCs w:val="18"/>
          <w:lang w:val="en-US"/>
        </w:rPr>
        <w:t xml:space="preserve"> The location of the inserts under the central stone in the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18"/>
          <w:szCs w:val="18"/>
        </w:rPr>
      </w:pPr>
      <w:proofErr w:type="spellStart"/>
      <w:r>
        <w:rPr>
          <w:rFonts w:ascii="TimesNewRomanPSMT" w:eastAsia="TimesNewRomanPSMT" w:hAnsi="EuropeExt" w:cs="TimesNewRomanPSMT"/>
          <w:sz w:val="18"/>
          <w:szCs w:val="18"/>
        </w:rPr>
        <w:t>caste</w:t>
      </w:r>
      <w:proofErr w:type="spellEnd"/>
      <w:r>
        <w:rPr>
          <w:rFonts w:ascii="TimesNewRomanPSMT" w:eastAsia="TimesNewRomanPSMT" w:hAnsi="EuropeEx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eastAsia="TimesNewRomanPSMT" w:hAnsi="EuropeExt" w:cs="TimesNewRomanPSMT"/>
          <w:sz w:val="18"/>
          <w:szCs w:val="18"/>
        </w:rPr>
        <w:t>bite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Проведены исследования влияния 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угла наклона закреп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ляемых камней ювели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рных изделий на передачу </w:t>
      </w:r>
      <w:proofErr w:type="spell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цвета</w:t>
      </w:r>
      <w:proofErr w:type="gram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ыявлены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возможно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сти улучшения дизайна ювелирных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изделий за счет 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спользования закрепки ювелирных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вставок под углом 90</w:t>
      </w:r>
      <w:r>
        <w:rPr>
          <w:rFonts w:ascii="Newton7C" w:hAnsi="Newton7C" w:cs="Newton7C"/>
          <w:sz w:val="20"/>
          <w:szCs w:val="20"/>
        </w:rPr>
        <w:t xml:space="preserve">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павильона и 45</w:t>
      </w:r>
      <w:r>
        <w:rPr>
          <w:rFonts w:ascii="Newton7C" w:hAnsi="Newton7C" w:cs="Newton7C"/>
          <w:sz w:val="20"/>
          <w:szCs w:val="20"/>
        </w:rPr>
        <w:t xml:space="preserve">° 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— </w:t>
      </w:r>
      <w:proofErr w:type="spell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рундиста</w:t>
      </w:r>
      <w:proofErr w:type="spellEnd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относительно поверхности изделия.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камни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закрепка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вставок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покрытие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Ta</w:t>
      </w:r>
      <w:r>
        <w:rPr>
          <w:rFonts w:ascii="TimesNewRomanPSMT" w:eastAsia="TimesNewRomanPSMT" w:hAnsi="EuropeExt" w:cs="TimesNewRomanPSMT"/>
          <w:sz w:val="12"/>
          <w:szCs w:val="12"/>
        </w:rPr>
        <w:t>2</w:t>
      </w:r>
      <w:r>
        <w:rPr>
          <w:rFonts w:ascii="TimesNewRomanPSMT" w:eastAsia="TimesNewRomanPSMT" w:hAnsi="EuropeExt" w:cs="TimesNewRomanPSMT"/>
          <w:sz w:val="20"/>
          <w:szCs w:val="20"/>
        </w:rPr>
        <w:t>O</w:t>
      </w:r>
      <w:r>
        <w:rPr>
          <w:rFonts w:ascii="TimesNewRomanPSMT" w:eastAsia="TimesNewRomanPSMT" w:hAnsi="EuropeExt" w:cs="TimesNewRomanPSMT"/>
          <w:sz w:val="12"/>
          <w:szCs w:val="12"/>
        </w:rPr>
        <w:t>5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190EA0" w:rsidRDefault="00190EA0" w:rsidP="00462F60">
      <w:pPr>
        <w:autoSpaceDE w:val="0"/>
        <w:autoSpaceDN w:val="0"/>
        <w:adjustRightInd w:val="0"/>
        <w:spacing w:after="0" w:line="240" w:lineRule="auto"/>
        <w:rPr>
          <w:rFonts w:cs="EuropeExt"/>
          <w:sz w:val="16"/>
          <w:szCs w:val="16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687.174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Д. А. Федотова, Л. Т. Жукова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ПРОЕКТИРОВАНИЕ СПОРТИВНОГО ПОЯСА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ДЛЯ МАС-РЕСТЛИНГА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Обосновывается не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обходимость разработки спе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циального спортивного пояса для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мас-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рестлинга</w:t>
      </w:r>
      <w:proofErr w:type="spellEnd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. Рас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крывается последов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ательность проектирования пояса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для данного вида 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спорта, который позволит решить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следующую задачу — создание оригинального изделия,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соответствующего требовани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ям правил по </w:t>
      </w:r>
      <w:proofErr w:type="spellStart"/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>масрест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лингу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 а также выде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лить товар на рынке и расширить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ассортимент аналог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ичных товаров для более полного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удовлетворения потреб</w:t>
      </w:r>
      <w:r w:rsidR="00190EA0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ительского спроса и, тем самым,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вовлечения масс в занятия спортом.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рестлинг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спортивный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пояс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К.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Пономар</w:t>
      </w:r>
      <w:r>
        <w:rPr>
          <w:rFonts w:ascii="Arial-BoldMT" w:hAnsi="Arial-BoldMT" w:cs="Arial-BoldMT"/>
          <w:b/>
          <w:bCs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ва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190EA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МЕТОДОЛОГИЯ НАНЕСЕНИЯ ТЕКСТУРЫ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ПОВЕРХНОСТЬ ИЗДЕЛИЙ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МАЛОЙ ПЛАСТИКИ ИЗ ХАЛЦЕДОНА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Рассматривается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задача расширения ассортимента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дизайна изделий из камня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путем нанесения текстуры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поверхность мате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>риала, на примере обработки ми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нералов халцедоно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вой группы. Приведены возможные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методики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текстур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>ирования</w:t>
      </w:r>
      <w:proofErr w:type="spellEnd"/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поверхности </w:t>
      </w:r>
      <w:proofErr w:type="spellStart"/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>халцедона</w:t>
      </w:r>
      <w:proofErr w:type="gramStart"/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влияние на конечную эстетику продукта.</w:t>
      </w:r>
    </w:p>
    <w:p w:rsidR="00462F60" w:rsidRPr="00043777" w:rsidRDefault="00462F60" w:rsidP="0004377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камень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текстура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обработка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халцедон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геммополихромия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изделия</w:t>
      </w:r>
      <w:proofErr w:type="spellEnd"/>
      <w:proofErr w:type="gramStart"/>
      <w:r w:rsidR="00043777">
        <w:rPr>
          <w:rFonts w:ascii="TimesNewRomanPSMT" w:eastAsia="TimesNewRomanPSMT" w:hAnsi="EuropeExtBold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</w:t>
      </w:r>
      <w:proofErr w:type="gramEnd"/>
      <w:r>
        <w:rPr>
          <w:rFonts w:ascii="TimesNewRomanPSMT" w:eastAsia="TimesNewRomanPSMT" w:hAnsi="EuropeExtBold" w:cs="TimesNewRomanPSMT" w:hint="eastAsia"/>
          <w:sz w:val="20"/>
          <w:szCs w:val="20"/>
        </w:rPr>
        <w:t>екоративно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прикладное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травление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лазер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И.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Шалмина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Г. М. Андросова, Ж. А. Фот, В. И. Туева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462F60" w:rsidRDefault="00043777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РАЗРАБОТКА СТРУКТУРЫ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ПРОЦЕССА</w:t>
      </w:r>
      <w:r>
        <w:rPr>
          <w:rFonts w:ascii="EuropeExtBold" w:hAnsi="EuropeExtBold" w:cs="EuropeExtBold"/>
          <w:b/>
          <w:bCs/>
          <w:sz w:val="34"/>
          <w:szCs w:val="34"/>
        </w:rPr>
        <w:t xml:space="preserve"> ПРОЕКТИРОВАНИЯ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ПЛОТНО ПРИЛЕГАЮЩИХ ОБОЛОЧЕК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gramStart"/>
      <w:r w:rsidR="00462F60">
        <w:rPr>
          <w:rFonts w:ascii="EuropeExtBold" w:hAnsi="EuropeExtBold" w:cs="EuropeExtBold"/>
          <w:b/>
          <w:bCs/>
          <w:sz w:val="34"/>
          <w:szCs w:val="34"/>
        </w:rPr>
        <w:t>ДЛЯ</w:t>
      </w:r>
      <w:proofErr w:type="gramEnd"/>
      <w:r w:rsidR="00462F60">
        <w:rPr>
          <w:rFonts w:ascii="EuropeExtBold" w:hAnsi="EuropeExtBold" w:cs="EuropeExtBold"/>
          <w:b/>
          <w:bCs/>
          <w:sz w:val="34"/>
          <w:szCs w:val="34"/>
        </w:rPr>
        <w:t xml:space="preserve"> ЭКСПЕРИМЕНТАЛЬНОГО</w:t>
      </w:r>
    </w:p>
    <w:p w:rsidR="00462F60" w:rsidRDefault="00043777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МОДЕЛИРОВАНИЯ ИЗДЕЛИЙ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СЛОЖНОГО КРОЯ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Выявлены три этап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 для проектирования </w:t>
      </w:r>
      <w:proofErr w:type="spellStart"/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>плотнопри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легающих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изделий. На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первом этапе задаются исходные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данные, такие как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степень </w:t>
      </w:r>
      <w:proofErr w:type="spellStart"/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>драпируемости</w:t>
      </w:r>
      <w:proofErr w:type="spellEnd"/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степень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расчлененности и т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д. На втором этапе полученную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поверхность объемных оболочек размечают линиями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рассечения с целью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образования модельных деталей.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третьем этап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 получают плоскостные элементы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деталей, котор</w:t>
      </w:r>
      <w:r w:rsidR="00043777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ые корректируются в зависимости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 свойств используемого материала.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плотно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прилегающие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членения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оболочка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различные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составляющие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элементы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драпируемость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462F60" w:rsidRDefault="00462F60" w:rsidP="00462F60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674.07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С.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Зайдес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Е. Ю.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Шерстнева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Иркутский национальный исследовательский технический университет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МИКРОСКОПИЧЕСКИЕ ИССЛЕДОВАНИЯ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ОБРАЗЦОВ ДРЕВЕСИНЫ СОСНЫ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ПРИ ОБРАБОТКЕ ДАВЛЕНИЕМ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Определена дефо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рмирующая способность древесины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локальном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нагруж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ении</w:t>
      </w:r>
      <w:proofErr w:type="spellEnd"/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шаром. Установлена глубина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пластической деф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ормации древесины в зависимости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 диаметра нагруженного шар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а. Рассмотрены ми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кроскопические снимки структуры древесины сосны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до и после обработки давлением.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сосна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ранняя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поздняя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древесина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сжатие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шар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675.022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Г. М. Андросова, Е. В. Косова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</w:t>
      </w:r>
      <w:r w:rsidR="00CB1F5D">
        <w:rPr>
          <w:rFonts w:ascii="EuropeExtBold" w:hAnsi="EuropeExtBold" w:cs="EuropeExtBold"/>
          <w:b/>
          <w:bCs/>
          <w:sz w:val="34"/>
          <w:szCs w:val="34"/>
        </w:rPr>
        <w:t>работка методики</w:t>
      </w:r>
      <w:r w:rsidR="00CB1F5D">
        <w:rPr>
          <w:rFonts w:cs="EuropeExtBold"/>
          <w:b/>
          <w:bCs/>
          <w:sz w:val="34"/>
          <w:szCs w:val="34"/>
        </w:rPr>
        <w:t xml:space="preserve"> </w:t>
      </w:r>
      <w:r w:rsidR="00CB1F5D">
        <w:rPr>
          <w:rFonts w:ascii="EuropeExtBold" w:hAnsi="EuropeExtBold" w:cs="EuropeExtBold"/>
          <w:b/>
          <w:bCs/>
          <w:sz w:val="34"/>
          <w:szCs w:val="34"/>
        </w:rPr>
        <w:t>проектирования поясных изделий</w:t>
      </w:r>
      <w:r w:rsidR="00CB1F5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из матричных элементов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Изложены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аспекты проектирования поясных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изделий из матрич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ных элементов. На основе анали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за определены 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области, вызывающие затруднения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при заполнении 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ими лекал деталей, и предложены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методики проек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тирования юбок конической формы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 дискретных элементов.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поясное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proofErr w:type="gramStart"/>
      <w:r w:rsidR="00CB1F5D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атуральный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кожевенный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матричный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элемент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детали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конструкции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671.121.5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С. Е. Петрова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М. А. Федотова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Л. Т. Жукова 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 xml:space="preserve">Северо-Восточный федеральный университет им. М. К. </w:t>
      </w:r>
      <w:proofErr w:type="spellStart"/>
      <w:r>
        <w:rPr>
          <w:rFonts w:ascii="EuropeExt" w:hAnsi="EuropeExt" w:cs="EuropeExt"/>
          <w:sz w:val="16"/>
          <w:szCs w:val="16"/>
        </w:rPr>
        <w:t>Аммосова</w:t>
      </w:r>
      <w:proofErr w:type="spellEnd"/>
      <w:r>
        <w:rPr>
          <w:rFonts w:ascii="EuropeExt" w:hAnsi="EuropeExt" w:cs="EuropeExt"/>
          <w:sz w:val="16"/>
          <w:szCs w:val="16"/>
        </w:rPr>
        <w:t>, г. Якутск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ВЫРАЖЕНИЕ ОБРАЗА ОБЪЕКТА ПРИРОДЫ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 ДИЗАЙНЕ ЭКСКЛЮЗИВНОГО КОЛЬЦА</w:t>
      </w:r>
    </w:p>
    <w:p w:rsidR="00462F60" w:rsidRPr="00CB1F5D" w:rsidRDefault="00CB1F5D" w:rsidP="00CB1F5D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 ИСПОЛЬЗОВАНИЕМ ПРИРОДНОГО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СЫРОГО МАТЕРИАЛА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Представлен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результат работы над созданием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эксклюзивного кольца из золота 750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й пробы с использо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ванием в качестве в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ставок необработанных природных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материалов: мамонтовой кости 3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proofErr w:type="spellStart"/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го</w:t>
      </w:r>
      <w:proofErr w:type="spellEnd"/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сорта, алмазного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сырья в виде деформированных, плоских кристаллов и ал-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мазного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порошка. При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веден эскиз и описаны материалы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 изготовления ко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льца. Кольцо представляет собой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стилизованный обр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аз Ленских столбов — природного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парка, признанного ЮНЕСКО Всемирным наследием.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Italic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ювелирных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украшений</w:t>
      </w:r>
      <w:proofErr w:type="spellEnd"/>
      <w:r w:rsidR="00CB1F5D">
        <w:rPr>
          <w:rFonts w:ascii="TimesNewRomanPSMT" w:eastAsia="TimesNewRomanPSMT" w:hAnsi="TimesNewRomanPS-ItalicMT" w:cs="TimesNewRomanPSMT"/>
          <w:sz w:val="20"/>
          <w:szCs w:val="20"/>
        </w:rPr>
        <w:t>,</w:t>
      </w:r>
      <w:r w:rsidR="00CB1F5D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мамонтовая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r w:rsidR="00CB1F5D">
        <w:rPr>
          <w:rFonts w:eastAsia="TimesNewRomanPSMT" w:cs="TimesNewRomanPSMT"/>
          <w:sz w:val="20"/>
          <w:szCs w:val="20"/>
        </w:rPr>
        <w:t xml:space="preserve">   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кость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алмазное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сырье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алмазный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порошок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r>
        <w:rPr>
          <w:rFonts w:ascii="TimesNewRomanPSMT" w:eastAsia="TimesNewRomanPSMT" w:hAnsi="TimesNewRomanPS-ItalicMT" w:cs="TimesNewRomanPSMT"/>
          <w:sz w:val="20"/>
          <w:szCs w:val="20"/>
        </w:rPr>
        <w:t>3D-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стилизация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объекта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TimesNewRomanPS-ItalicMT" w:cs="TimesNewRomanPSMT" w:hint="eastAsia"/>
          <w:sz w:val="20"/>
          <w:szCs w:val="20"/>
        </w:rPr>
        <w:t>природы</w:t>
      </w:r>
      <w:proofErr w:type="spellEnd"/>
      <w:r>
        <w:rPr>
          <w:rFonts w:ascii="TimesNewRomanPSMT" w:eastAsia="TimesNewRomanPSMT" w:hAnsi="TimesNewRomanPS-ItalicM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7.04.17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Шарипов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О. Г. Борисенко, Д. Е.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Карханин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К.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Лапунова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Донской государственный технический университет, г. Ростов-на-Дону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ИСПОЛЬЗОВАНИЕ ОПИЛОК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ЦВЕТНЫХ МЕТАЛЛОВ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 ДЕКОРИРОВАНИИ СТЕКЛА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ается художественная технология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обработки стекла 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 использованием опилок цветных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металлов. Целью ра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боты являлось получение эффекта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присутствия золот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 в структуре стекла и передача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различных композиций при помощ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оттенков желтого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цвета. Были прове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дены испытания с целью изучения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влияния различных фак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торов на сохранность оптических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свой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ств ст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екла и физи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ческих изменений латуни. Латун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ная крошка является 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тходом, полученным в результате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обработки заготовок на ювелирных производствах,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-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этому использование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данного материала экономически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выгодно. Приведены п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римеры используемых технологий,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описываются эстетич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еские показатели качества полу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ченных изделий.</w:t>
      </w:r>
    </w:p>
    <w:p w:rsidR="00462F60" w:rsidRDefault="00462F60" w:rsidP="00462F60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стекло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обжиг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латунь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структура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цвет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462F60" w:rsidRDefault="00462F60" w:rsidP="00462F60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687.183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А. Старовойтова, Ж. А. Фот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РАЗРАБОТКА ТЕХНОЛОГИИ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обработки карманов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 двухсторонних швейных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 xml:space="preserve">ИЗДЕЛИЯХ ИЗ </w:t>
      </w:r>
      <w:proofErr w:type="spellStart"/>
      <w:r w:rsidR="00462F60">
        <w:rPr>
          <w:rFonts w:ascii="EuropeExtBold" w:hAnsi="EuropeExtBold" w:cs="EuropeExtBold"/>
          <w:b/>
          <w:bCs/>
          <w:sz w:val="34"/>
          <w:szCs w:val="34"/>
        </w:rPr>
        <w:t>нуновойлока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сп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особы получения валяных полотен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технике «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нуновойлок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 и особенности 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бработки одно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слойных двусторонних изд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елий из них. Благодаря уникаль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ным свойствам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нуново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йлока</w:t>
      </w:r>
      <w:proofErr w:type="spellEnd"/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его применение позволяет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рационально использовать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материальные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временные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ресурсы в процессе изг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отовления двухсторонних пальто.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Особое внимание уделено поузл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овой обработке карманов,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вход в которые осу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ществляется с двух сторон одно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слойного изделия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пальтово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-костюмного ассортимента.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двухсторонние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валяные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полотна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«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нуновойлок</w:t>
      </w:r>
      <w:proofErr w:type="spellEnd"/>
      <w:r>
        <w:rPr>
          <w:rFonts w:ascii="TimesNewRomanPSMT" w:eastAsia="TimesNewRomanPSMT" w:hAnsi="EuropeExt" w:cs="TimesNewRomanPSMT" w:hint="eastAsia"/>
          <w:sz w:val="20"/>
          <w:szCs w:val="20"/>
        </w:rPr>
        <w:t>»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свойства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полотен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обработки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карманов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687.01, 687.03, 687.023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Г. М. Андро</w:t>
      </w:r>
      <w:r w:rsidR="00CB1F5D">
        <w:rPr>
          <w:rFonts w:ascii="EuropeExtBold" w:hAnsi="EuropeExtBold" w:cs="EuropeExtBold"/>
          <w:b/>
          <w:bCs/>
          <w:sz w:val="24"/>
          <w:szCs w:val="24"/>
        </w:rPr>
        <w:t xml:space="preserve">сова, И. И. </w:t>
      </w:r>
      <w:proofErr w:type="spellStart"/>
      <w:r w:rsidR="00CB1F5D">
        <w:rPr>
          <w:rFonts w:ascii="EuropeExtBold" w:hAnsi="EuropeExtBold" w:cs="EuropeExtBold"/>
          <w:b/>
          <w:bCs/>
          <w:sz w:val="24"/>
          <w:szCs w:val="24"/>
        </w:rPr>
        <w:t>Шалмина</w:t>
      </w:r>
      <w:proofErr w:type="spellEnd"/>
      <w:r w:rsidR="00CB1F5D">
        <w:rPr>
          <w:rFonts w:ascii="EuropeExtBold" w:hAnsi="EuropeExtBold" w:cs="EuropeExtBold"/>
          <w:b/>
          <w:bCs/>
          <w:sz w:val="24"/>
          <w:szCs w:val="24"/>
        </w:rPr>
        <w:t>, Ж. А. Фот,</w:t>
      </w:r>
      <w:r w:rsidR="00CB1F5D">
        <w:rPr>
          <w:rFonts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24"/>
          <w:szCs w:val="24"/>
        </w:rPr>
        <w:t>А. А. Старовойтова, К. А. Фишер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СПОСОБ УКРЕПЛЕНИЯ СТРУКТУРЫ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ВОЙЛОЧНОГО ПОЛОТНА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существующие проблемы качества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традиционных войло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ков, ограничивающие возможности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их применения для изготовления высококачественной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одежды. Проведен об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зор существующих способов укре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пления структуры п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олотна. Выявлены их достоинства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недостатки. Предло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жен способ изготовления армиро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ванного войлочного по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лотна, позволяющий обеспечить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высокое качество изделий при незначительном увеличении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стоимости изделия и времени изготовления.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войлоковаляние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армирование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экологичность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экономичность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формоустойчивость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679.8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А. Греков, С. Г. Петрова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морской технический университет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ОБРАБОТКА ЗАГОТОВОК ИЗ СМАЛЬТЫ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ПРИ ИЗГОТОВЛЕНИИ МОЗАИК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технологии обработки заготовок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 смальты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ручным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машинным способами, оценивается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целесообразность каждой технологии для конкретных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задач, подробно изучае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тся процесс абразивного резания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смальты, предлагают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ся решения по модернизации про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цесса изготовления мозаик.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мозаика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смальта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заготовки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логии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резание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экономия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инструменты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746.25:611.781.1:398.3 (091)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О.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Печурина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СЕМАНТИКА УЗЛОВ И СЕТИ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Рассказывается 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 символических значениях узлов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сети в различных культурах.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узел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плести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оберег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символика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746.25:611.781.1:398.3 (091)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О.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Печурина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СВАДЕБНАЯ СЕМАНТИКА НИТИ,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ВЕРЕВКИ, ПОЯСА, ТКАЦКИХ ИЗДЕЛИЙ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Рассказывается о символических значениях нит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веревки, пояса, ткацких изделий в свадебных ритуалах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различных культурах.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нить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веревка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пояс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ткацкие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свадебные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ритуалы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плести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оберег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color w:val="000000"/>
          <w:sz w:val="14"/>
          <w:szCs w:val="14"/>
        </w:rPr>
      </w:pPr>
      <w:r>
        <w:rPr>
          <w:rFonts w:ascii="EuropeExt" w:hAnsi="EuropeExt" w:cs="EuropeExt"/>
          <w:color w:val="000000"/>
          <w:sz w:val="14"/>
          <w:szCs w:val="14"/>
        </w:rPr>
        <w:t>УДК 539.434:677.494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olor w:val="000000"/>
        </w:rPr>
      </w:pPr>
      <w:r>
        <w:rPr>
          <w:rFonts w:ascii="EuropeExtBold" w:hAnsi="EuropeExtBold" w:cs="EuropeExtBold"/>
          <w:b/>
          <w:bCs/>
          <w:color w:val="000000"/>
        </w:rPr>
        <w:t xml:space="preserve">Н. В. </w:t>
      </w:r>
      <w:proofErr w:type="spellStart"/>
      <w:r>
        <w:rPr>
          <w:rFonts w:ascii="EuropeExtBold" w:hAnsi="EuropeExtBold" w:cs="EuropeExtBold"/>
          <w:b/>
          <w:bCs/>
          <w:color w:val="000000"/>
        </w:rPr>
        <w:t>Переборова</w:t>
      </w:r>
      <w:proofErr w:type="spellEnd"/>
      <w:r>
        <w:rPr>
          <w:rFonts w:ascii="EuropeExtBold" w:hAnsi="EuropeExtBold" w:cs="EuropeExtBold"/>
          <w:b/>
          <w:bCs/>
          <w:color w:val="000000"/>
        </w:rPr>
        <w:t>, Н. С. Климова, И. В. Абрамова, Ю. В. Кобякова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color w:val="000000"/>
          <w:sz w:val="14"/>
          <w:szCs w:val="14"/>
        </w:rPr>
      </w:pPr>
      <w:r>
        <w:rPr>
          <w:rFonts w:ascii="EuropeExt" w:hAnsi="EuropeExt" w:cs="EuropeExt"/>
          <w:color w:val="000000"/>
          <w:sz w:val="14"/>
          <w:szCs w:val="14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color w:val="000000"/>
          <w:sz w:val="31"/>
          <w:szCs w:val="31"/>
        </w:rPr>
      </w:pPr>
      <w:r>
        <w:rPr>
          <w:rFonts w:ascii="EuropeExtBold" w:hAnsi="EuropeExtBold" w:cs="EuropeExtBold"/>
          <w:b/>
          <w:bCs/>
          <w:color w:val="000000"/>
          <w:sz w:val="31"/>
          <w:szCs w:val="31"/>
        </w:rPr>
        <w:lastRenderedPageBreak/>
        <w:t>МЕТОДЫ КОМПЬЮТЕРНОГО</w:t>
      </w:r>
      <w:r w:rsidR="00CB1F5D">
        <w:rPr>
          <w:rFonts w:cs="EuropeExtBold"/>
          <w:b/>
          <w:bCs/>
          <w:color w:val="000000"/>
          <w:sz w:val="31"/>
          <w:szCs w:val="31"/>
        </w:rPr>
        <w:t xml:space="preserve"> </w:t>
      </w:r>
      <w:r w:rsidR="00CB1F5D">
        <w:rPr>
          <w:rFonts w:ascii="EuropeExtBold" w:hAnsi="EuropeExtBold" w:cs="EuropeExtBold"/>
          <w:b/>
          <w:bCs/>
          <w:color w:val="000000"/>
          <w:sz w:val="31"/>
          <w:szCs w:val="31"/>
        </w:rPr>
        <w:t>ПРОГНОЗИРОВАНИЯ ДЕФОРМАЦИОННЫХ</w:t>
      </w:r>
      <w:r w:rsidR="00CB1F5D">
        <w:rPr>
          <w:rFonts w:cs="EuropeExtBold"/>
          <w:b/>
          <w:bCs/>
          <w:color w:val="000000"/>
          <w:sz w:val="31"/>
          <w:szCs w:val="31"/>
        </w:rPr>
        <w:t xml:space="preserve"> </w:t>
      </w:r>
      <w:r>
        <w:rPr>
          <w:rFonts w:ascii="EuropeExtBold" w:hAnsi="EuropeExtBold" w:cs="EuropeExtBold"/>
          <w:b/>
          <w:bCs/>
          <w:color w:val="000000"/>
          <w:sz w:val="31"/>
          <w:szCs w:val="31"/>
        </w:rPr>
        <w:t>ПРОЦЕССОВ ТЕХНИЧЕСКОГО ТЕКСТИЛЯ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color w:val="FFFFFF"/>
          <w:sz w:val="24"/>
          <w:szCs w:val="24"/>
        </w:rPr>
      </w:pPr>
      <w:proofErr w:type="spellStart"/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Информационные</w:t>
      </w:r>
      <w:proofErr w:type="spellEnd"/>
      <w:r>
        <w:rPr>
          <w:rFonts w:ascii="TimesNewRomanPSMT" w:eastAsia="TimesNewRomanPSMT" w:hAnsi="EuropeExt" w:cs="TimesNewRomanPSMT"/>
          <w:color w:val="FFFFFF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технологии</w:t>
      </w:r>
      <w:proofErr w:type="spellEnd"/>
      <w:r>
        <w:rPr>
          <w:rFonts w:ascii="TimesNewRomanPSMT" w:eastAsia="TimesNewRomanPSMT" w:hAnsi="EuropeExt" w:cs="TimesNewRomanPSMT"/>
          <w:color w:val="FFFFFF"/>
          <w:sz w:val="24"/>
          <w:szCs w:val="24"/>
        </w:rPr>
        <w:t xml:space="preserve"> </w:t>
      </w:r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в</w:t>
      </w:r>
      <w:r>
        <w:rPr>
          <w:rFonts w:ascii="TimesNewRomanPSMT" w:eastAsia="TimesNewRomanPSMT" w:hAnsi="EuropeExt" w:cs="TimesNewRomanPSMT"/>
          <w:color w:val="FFFFFF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FFFFFF"/>
          <w:sz w:val="24"/>
          <w:szCs w:val="24"/>
        </w:rPr>
        <w:t>дизайне</w:t>
      </w:r>
      <w:proofErr w:type="spell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На основе методов системного анализа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вязкоупругости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полимерных </w:t>
      </w:r>
      <w:r w:rsidR="00CB1F5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текстильных материалов разраба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тываются компью</w:t>
      </w:r>
      <w:r w:rsidR="00CB1F5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терные методики прогнозирования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деформационных п</w:t>
      </w:r>
      <w:r w:rsidR="00CB1F5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роцессов технического текстиля.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Выбор основополагающей функции для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математического</w:t>
      </w:r>
      <w:proofErr w:type="gramEnd"/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моделирования вязк</w:t>
      </w:r>
      <w:r w:rsidR="00CB1F5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оупругих процессов технического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текстиля производ</w:t>
      </w:r>
      <w:r w:rsidR="00CB1F5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ится в соответствии с критерием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оптимальности указанного моделирования.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полимеры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текстильные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>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вязкоупругость</w:t>
      </w:r>
      <w:proofErr w:type="spellEnd"/>
      <w:proofErr w:type="gram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деформационные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процессы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математическое</w:t>
      </w:r>
      <w:proofErr w:type="spellEnd"/>
    </w:p>
    <w:p w:rsidR="00462F60" w:rsidRDefault="00462F60" w:rsidP="00462F60">
      <w:pPr>
        <w:rPr>
          <w:rFonts w:eastAsia="TimesNewRomanPSMT" w:cs="TimesNewRomanPSMT"/>
          <w:color w:val="000000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моделирование</w:t>
      </w:r>
      <w:proofErr w:type="spellEnd"/>
      <w:proofErr w:type="gram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релаксация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компьютерное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прогнозирование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>.</w:t>
      </w:r>
    </w:p>
    <w:p w:rsidR="00462F60" w:rsidRDefault="00462F60" w:rsidP="00462F60">
      <w:pPr>
        <w:rPr>
          <w:rFonts w:eastAsia="TimesNewRomanPSMT" w:cs="TimesNewRomanPSMT"/>
          <w:color w:val="000000"/>
          <w:sz w:val="20"/>
          <w:szCs w:val="20"/>
        </w:rPr>
      </w:pP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539.434:677.494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Переборова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А. Г. Макаров </w:t>
      </w:r>
      <w:r>
        <w:rPr>
          <w:rFonts w:ascii="EuropeExtBold" w:hAnsi="EuropeExtBold" w:cs="EuropeExtBold"/>
          <w:b/>
          <w:bCs/>
          <w:sz w:val="14"/>
          <w:szCs w:val="14"/>
        </w:rPr>
        <w:t>1, 2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М. А. Егорова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М. Егоров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</w:t>
      </w:r>
    </w:p>
    <w:p w:rsidR="00462F60" w:rsidRDefault="00CB1F5D" w:rsidP="00462F60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МЕТОДОЛОГИЯ ПРОВЕДЕНИЯ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СИСТЕМНОГО АНАЛИЗА В</w:t>
      </w:r>
      <w:r>
        <w:rPr>
          <w:rFonts w:ascii="EuropeExtBold" w:hAnsi="EuropeExtBold" w:cs="EuropeExtBold"/>
          <w:b/>
          <w:bCs/>
          <w:sz w:val="34"/>
          <w:szCs w:val="34"/>
        </w:rPr>
        <w:t>ЯЗКОУПРУГИХ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462F60">
        <w:rPr>
          <w:rFonts w:ascii="EuropeExtBold" w:hAnsi="EuropeExtBold" w:cs="EuropeExtBold"/>
          <w:b/>
          <w:bCs/>
          <w:sz w:val="34"/>
          <w:szCs w:val="34"/>
        </w:rPr>
        <w:t>СВОЙСТВ ТЕКСТИЛЬНЫХ МАТЕРИАЛОВ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Методы исслед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ования нелинейно-наследственной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вязкоупругости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полим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ерных нитей переносятся на тек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стильные материа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>лы сложной макроструктуры. Раз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рабатывается ме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тодология проведения системного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анализа вязкоупругих свойств указанных материалов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основе компьюте</w:t>
      </w:r>
      <w:r w:rsidR="00CB1F5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рного моделирования одноименных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процессов.</w:t>
      </w:r>
    </w:p>
    <w:p w:rsidR="00462F60" w:rsidRDefault="00462F60" w:rsidP="00462F6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proofErr w:type="gramStart"/>
      <w:r w:rsidR="00CB1F5D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язкоупругость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деформационные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процессы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математическое</w:t>
      </w:r>
      <w:proofErr w:type="spellEnd"/>
      <w:r w:rsidR="00CB1F5D">
        <w:rPr>
          <w:rFonts w:eastAsia="TimesNewRomanPSMT" w:cs="TimesNewRomanPSMT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анализ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релаксация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462F60" w:rsidRPr="00462F60" w:rsidRDefault="00462F60" w:rsidP="00462F60"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компьютерное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прогнозирование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sectPr w:rsidR="00462F60" w:rsidRPr="0046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7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60"/>
    <w:rsid w:val="00043777"/>
    <w:rsid w:val="00190EA0"/>
    <w:rsid w:val="00462F60"/>
    <w:rsid w:val="00543E31"/>
    <w:rsid w:val="00807508"/>
    <w:rsid w:val="00C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2017-11-20T10:58:00Z</dcterms:created>
  <dcterms:modified xsi:type="dcterms:W3CDTF">2017-11-20T11:26:00Z</dcterms:modified>
</cp:coreProperties>
</file>