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bookmarkStart w:id="0" w:name="_GoBack"/>
      <w:r>
        <w:rPr>
          <w:rFonts w:ascii="EuropeExt" w:hAnsi="EuropeExt" w:cs="EuropeExt"/>
          <w:sz w:val="16"/>
          <w:szCs w:val="16"/>
        </w:rPr>
        <w:t>УДК 37.02 (075.8)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Г.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Якуничев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Санкт-Петербургская государственная художественно-промышленная академия</w:t>
      </w:r>
      <w:r>
        <w:rPr>
          <w:rFonts w:cs="EuropeExt"/>
          <w:sz w:val="16"/>
          <w:szCs w:val="16"/>
        </w:rPr>
        <w:t xml:space="preserve"> </w:t>
      </w:r>
      <w:r>
        <w:rPr>
          <w:rFonts w:ascii="EuropeExt" w:hAnsi="EuropeExt" w:cs="EuropeExt"/>
          <w:sz w:val="16"/>
          <w:szCs w:val="16"/>
        </w:rPr>
        <w:t xml:space="preserve">им. А. Л. </w:t>
      </w:r>
      <w:proofErr w:type="spellStart"/>
      <w:r>
        <w:rPr>
          <w:rFonts w:ascii="EuropeExt" w:hAnsi="EuropeExt" w:cs="EuropeExt"/>
          <w:sz w:val="16"/>
          <w:szCs w:val="16"/>
        </w:rPr>
        <w:t>Штиглица</w:t>
      </w:r>
      <w:proofErr w:type="spellEnd"/>
      <w:r>
        <w:rPr>
          <w:rFonts w:ascii="EuropeExt" w:hAnsi="EuropeExt" w:cs="EuropeExt"/>
          <w:sz w:val="16"/>
          <w:szCs w:val="16"/>
        </w:rPr>
        <w:t>.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МЕТОДЫ ДИЗАЙНА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СОВРЕМЕННОМ ЭТАПЕ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ОРГАНИЗАЦИОННЫХ ИЗМЕНЕНИЙ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ПРЕДМЕТНОЙ СРЕДЫ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Отмечается принципиальная связь между организацией предметной среды и организацией предметной деятельности. В свете исторической тенденции развития предметной среды ее современное состояние характеризуется системными изменениями. Соответственно,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методы дизайна содержат системные отличия от традиционных форм проектной деятельности.</w:t>
      </w:r>
    </w:p>
    <w:p w:rsidR="00A42BC1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предметная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структурная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организация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метод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669.017:671.1:67.02:67.017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С. И. Галанин, К. Н. Колупаев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ОСОБЕННОСТИ</w:t>
      </w:r>
      <w:r>
        <w:rPr>
          <w:rFonts w:cs="EuropeExtBold"/>
          <w:b/>
          <w:bCs/>
          <w:sz w:val="34"/>
          <w:szCs w:val="34"/>
        </w:rPr>
        <w:t xml:space="preserve"> 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ДИЗАЙН-ПРОЕКТИРОВАНИЯ</w:t>
      </w:r>
      <w:proofErr w:type="gram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СОВРЕМЕННЫХ ЮВЕЛИРНЫХ ИЗДЕЛИЙ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Рассмотрены особенности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дизайн-проектирования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современных ювелирных изделий с учетом используемых материалов, серийности выпуска, сектора потребления, технологических возможностей производства. Описаны способы формирования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дизайн-идеи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будущего ювелирного изделия и основные этапы дизайн-проектирования. Показано, что первоначальный художественный замысел изделия может претерпевать значительные изменения в процессе проектирования и изготовления.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687.02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А. Москвина, Т. Т.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Балтянская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А. Ю. Москвин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РЕТРОСПЕКТИВНЫЙ АНАЛИЗ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СИЛУЭТНЫХ ФОРМ СВАДЕБНЫХ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ПЛАТЬЕВ XX и XXI в.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посвящена разработке новой классификации силуэтов свадебных платьев XXI в. на основе сравнительного анализа выборки фотографических изображений современной одежды и ее прототипов. Выполнено сопоставление силуэтных форм свадебных платьев XX и XIX в. На основе метода квалиметрии определены исторические прототипы для каждого вида силуэтов.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свадебное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платье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силуэтная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исторические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прототипы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параметры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формыодежды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квалиметрия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739.2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А. Груздева, Е. В. Денисова, О. И.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Ильвес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Уральский федеральный университет, г. Екатеринбург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ПАРАМЕТРИЗМ В ДИЗАЙНЕЮВЕЛИРНЫХ УКРАШЕНИЙ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Мир ювелирных украшений разнообразен, а каждое ювелирное изделие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r>
        <w:rPr>
          <w:rFonts w:ascii="Arial" w:hAnsi="Arial" w:cs="Arial"/>
          <w:i/>
          <w:iCs/>
          <w:sz w:val="20"/>
          <w:szCs w:val="20"/>
        </w:rPr>
        <w:t>своему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уникально.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несмотря на то, что ювелирное искусство является одним из самых древних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видов декоративно-прикладного искусства, постоянно совершенствуются подходы к проектированию ювелирных украшений. Как известно, современные требования к дизайну ювелирных украшений заставляют дизайнеров все чаще обращаться к сложным пространственным формам, созданным на основе «параметрического» проектирования.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Параметризм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— это новый стиль, обладающий уникальный потенциалом, позволяет создавать совершенно новые по дизайну ювелирные украшения.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параметризм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паттерны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серия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колец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диаграмма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Вороного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Rhinoceros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Grasshopper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7.05:687.016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Л.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Акс¸нова-Шабловская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технологические аспекты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использования мотивов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живописных произведений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в дизайне современного костюма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(к вопросу об использовании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творческого наследия мастеров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Ренессанса в современных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модных коллекциях</w:t>
      </w:r>
      <w:r>
        <w:rPr>
          <w:rFonts w:ascii="EuropeExtBold" w:hAnsi="EuropeExtBold" w:cs="EuropeExtBold"/>
          <w:b/>
          <w:bCs/>
          <w:sz w:val="34"/>
          <w:szCs w:val="34"/>
        </w:rPr>
        <w:t>)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Выполнен обзор различных технологий переноса изображений на текстильные материалы. Проведен анализ современных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подиумных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коллекций и представлены примеры использования отдельных техник и технологий для получения рисунков на ткани, связанных с живописными полотнами эпохи Ренессанса.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живопись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Ренессанс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печать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ткани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Ю.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Суравцова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Е. И. Петрова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КРИТЕРИИ ОЦЕНКИ КАЧЕСТВА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АССОРТИМЕНТА ДЕТСКОЙ ОДЕЖДЫ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СЕГМЕНТЕ ПРОМЫШЛЕННОГО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ПРОИЗВОДСТВА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Рассматриваются критерии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оценки качества изделий ассортимента детской одежды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 условиях современной промышленности. Сформулированы основные требования, предъявляемые к этому виду одежды. Представлены таблицы, позволяющие систематизировать процесс оценки качества изделий для детей.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детская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промышленное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производство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детской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критерии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оценки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качества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детской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72.17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Пацукевич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Параметрическое моделирование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как метод создания манекенов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для демонстрации предметов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Pr="00057B9B">
        <w:rPr>
          <w:rFonts w:ascii="EuropeExtBold" w:hAnsi="EuropeExtBold" w:cs="EuropeExtBold"/>
          <w:b/>
          <w:bCs/>
          <w:caps/>
          <w:sz w:val="34"/>
          <w:szCs w:val="34"/>
        </w:rPr>
        <w:t>одежды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освещает потенциал параметрического моделирования в создании объемных человеческих фигур для экспонирования одежды. Подвергаются анализу эстетические и технологические свойства такого рода дизайнерских решений. Исследование проводится на базе образца, выполненного по описанной методике. В результате исследования удалось выявить значительный функциональный потенциал такого рода решений, механизм их реализации, а также обозначить перспективы эстетической эволюции антропоморфного торгового оборудования.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параметрическое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манекен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антропоморфный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объемный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объект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вариативные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пропорции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торгового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пространства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687.18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А. Старовойтова, Ж. А. Фот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ИССЛЕДОВАНИЕ ДЕФОРМАЦИОННЫХ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СВОЙСТВ НИТОЧНЫХ ШВОВ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ПРИ СОЕДИНЕНИИ ДЕТАЛЕЙ КУРТОК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ИЗ КОМБИНАЦИИ МАТЕРИАЛОВ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Представлены результаты исследования эстетических показателей качества ниточных швов, влияющих на внешний вид швейных изделий. Установлено, что в куртках из комбинации материалов для соединения деталей наиболее часто применяются стачные 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настрочные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швы с одной или двумя строчками настрачивания, при выполнении которых наблюдается продольная деформация. Особенно этот дефект проявляется при соединении деталей по криволинейному контуру. Определены показатели посадки и стягивания соединительных швов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даны рекомендации по их уменьшению.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куртки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комбинация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материалов</w:t>
      </w:r>
      <w:proofErr w:type="spellEnd"/>
      <w:proofErr w:type="gramStart"/>
      <w:r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иточные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соединения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качество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швов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продольная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деформация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швов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679.8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Л. В. Юрьева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Иркутский национальный исследовательский технический университет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ИСПОЛЬЗОВАНИЕ ИЗМЕЛЬЧЕННЫХ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ГОРЕЛЫХ ПОРОД В КАЧЕСТВЕ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ДЕКОРАТИВНЫХ ПОКРЫТИЙ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Рассмотрены результаты экспериментов по технологической обработке горелых пород угольных месторождений. Предложены методы утилизации отходов обработки.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Низкодекоративные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горелые породы и отходы обработки высокодекоративных разновидностей пригодны для получения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эмалевидных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декоративных покрытий. Показаны возможности использования покрытий сходных с эмалями в ювелирном дизайне.</w:t>
      </w:r>
    </w:p>
    <w:p w:rsid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технологическая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обработка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горелые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породы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эмалевидные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покрытия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</w:p>
    <w:p w:rsidR="00057B9B" w:rsidRP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Bold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t>ювелирный</w:t>
      </w:r>
      <w:proofErr w:type="spellEnd"/>
      <w:proofErr w:type="gram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687.01; 7.011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Ю. Е.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Музалевская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КОНЦЕПЦИЯ «НОВОГО ОБРАЗА ЖЕНЩИНЫ</w:t>
      </w:r>
      <w:r w:rsidR="006F0B34">
        <w:rPr>
          <w:rFonts w:cs="EuropeExtBold"/>
          <w:b/>
          <w:bCs/>
          <w:sz w:val="34"/>
          <w:szCs w:val="34"/>
        </w:rPr>
        <w:t xml:space="preserve"> </w:t>
      </w:r>
      <w:r w:rsidR="006F0B34">
        <w:rPr>
          <w:rFonts w:ascii="EuropeExtBold" w:hAnsi="EuropeExtBold" w:cs="EuropeExtBold"/>
          <w:b/>
          <w:bCs/>
          <w:sz w:val="34"/>
          <w:szCs w:val="34"/>
        </w:rPr>
        <w:t>ХХ ВЕКА» В ПРОЕКТИРОВАНИИ</w:t>
      </w:r>
      <w:r w:rsidR="006F0B34">
        <w:rPr>
          <w:rFonts w:cs="EuropeExtBold"/>
          <w:b/>
          <w:bCs/>
          <w:sz w:val="34"/>
          <w:szCs w:val="34"/>
        </w:rPr>
        <w:t xml:space="preserve"> </w:t>
      </w:r>
      <w:r w:rsidR="006F0B34">
        <w:rPr>
          <w:rFonts w:ascii="EuropeExtBold" w:hAnsi="EuropeExtBold" w:cs="EuropeExtBold"/>
          <w:b/>
          <w:bCs/>
          <w:sz w:val="34"/>
          <w:szCs w:val="34"/>
        </w:rPr>
        <w:t>КОЛЛЕКЦИЙ НА ПРИМЕРЕ ТВОРЧЕСТВА</w:t>
      </w:r>
      <w:r w:rsidR="006F0B34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ИВА СЕН-ЛОРАНА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ящена роли творческой концепции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 творчестве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знам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енитого</w:t>
      </w:r>
      <w:proofErr w:type="gram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кутюрье Ива Сен-Лорана.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Подробно рассмат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ривается влияние его творчества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 изменение образа женщины ХХ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процес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се рас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ширения женско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го гардероба предметами одежды,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заимствованными из мужского костюма.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концепция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женский</w:t>
      </w:r>
      <w:proofErr w:type="spell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смокинг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коллекция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костюм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677.494.675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А. Тимошина, Э. Ф. Вознесенский, А. В. Островская,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И.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Латфуллин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Казанский национальный исследовательский технологический университет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 xml:space="preserve">ПРИМЕНЕНИЕ 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МОДИФИЦИРОВАННЫХ</w:t>
      </w:r>
      <w:proofErr w:type="gramEnd"/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АМИНОСМОЛ И ННТП-ОБРАБОТКИ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ДЛЯ ПОВЫШЕНИЯ АДГЕЗИОННОЙ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ПРОЧНОСТИ КОМПОЗИЦИОННЫХ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МАТЕРИАЛОВ НА ОСНОВЕ</w:t>
      </w:r>
      <w:r w:rsidR="006F0B34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ПОЛИАМИДНЫХ ВОЛОКОН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Экспериментально установлена возможность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моди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фикации поверхности 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полиамидных волокон </w:t>
      </w:r>
      <w:proofErr w:type="spell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аминоальде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гидным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олигомером с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целью повышения их адгезионных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свойств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полимерным 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связующим. Исследованы процессы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эффективного нанесения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аминоальдегидного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олигомера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поверхность полиамидных волокон с приме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нением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предварительной обра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ботки в плазме высокочастотного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емкостного разряда пониженного давления.</w:t>
      </w:r>
    </w:p>
    <w:p w:rsid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полиамидное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волокно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модиф</w:t>
      </w:r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proofErr w:type="spellEnd"/>
      <w:r w:rsidR="006F0B34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gram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цированный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аминоальдегидный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олигомер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</w:p>
    <w:p w:rsid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адгезия</w:t>
      </w:r>
      <w:proofErr w:type="spellEnd"/>
      <w:r w:rsidR="006F0B34"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высокочастотный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емкостной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разряд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неравновесная</w:t>
      </w:r>
      <w:proofErr w:type="spell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низкотемпературная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плазма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УДК: 94 (47).083 Николай II, 1894–1917 гг.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Д. А. Клочков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6F0B34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опыт замены ткани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в обмундировании кавказских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 xml:space="preserve">казаков </w:t>
      </w:r>
      <w:proofErr w:type="gramStart"/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>в начале</w:t>
      </w:r>
      <w:proofErr w:type="gramEnd"/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 xml:space="preserve"> XX в.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Рассказывается 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попытке в 1900 г. заменить фа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бричное сукно, используе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мое в обмундировании кавказских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казаков, сукном местной выделки. Автор перечисляет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эстетические и тех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нические различия между тканями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фабричного и кустар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ного производства того времени,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приводит экономи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ческие аргументы в пользу такой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замены и технолог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ические причины ее невыгодности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неэффективности.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Bold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сукно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бешмет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черкеска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мундир</w:t>
      </w:r>
      <w:proofErr w:type="spellEnd"/>
      <w:r w:rsidR="006F0B34">
        <w:rPr>
          <w:rFonts w:ascii="TimesNewRomanPSMT" w:eastAsia="TimesNewRomanPSMT" w:hAnsi="EuropeExtBold" w:cs="TimesNewRomanPSMT"/>
          <w:sz w:val="20"/>
          <w:szCs w:val="20"/>
        </w:rPr>
        <w:t>,</w:t>
      </w:r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обмундирование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кустарная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выделка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фабричное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производство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кавказские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казаки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кубанские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казаки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терскиеказаки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  <w:proofErr w:type="gramEnd"/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671.1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6F0B34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Космологический феномен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солярной мифологии в создании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образов объектов дизайна,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>представленных ювелирными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 xml:space="preserve">изделиями, в развитии </w:t>
      </w:r>
      <w:proofErr w:type="gramStart"/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ведийской</w:t>
      </w:r>
      <w:proofErr w:type="gram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традиции Сурья садхана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Проведены исследован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ия древнеиндийского ведического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эпоса «Махабхарат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а» и «Книги Велеса» по созданию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культурного кода 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браза </w:t>
      </w:r>
      <w:proofErr w:type="spell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парюры</w:t>
      </w:r>
      <w:proofErr w:type="spell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который определен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визуальной когнитив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ной информационной динамической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системой «человек — солнце — ювелирные изделия Сурья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садхана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». Рассмотре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 композиционно-художественная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морфология образа юве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лирных украшений, которая осно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вывается на развитии стилистических особенностей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солярной мифологи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этнических восточных традиций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«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Минакар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» и «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Кундан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» в современной культуре.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Bold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культурный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код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система</w:t>
      </w:r>
      <w:proofErr w:type="spellEnd"/>
      <w:r w:rsidR="006F0B34">
        <w:rPr>
          <w:rFonts w:ascii="TimesNewRomanPSMT" w:eastAsia="TimesNewRomanPSMT" w:hAnsi="EuropeExtBold" w:cs="TimesNewRomanPSMT"/>
          <w:sz w:val="20"/>
          <w:szCs w:val="20"/>
        </w:rPr>
        <w:t>,</w:t>
      </w:r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структура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семиотика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космос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солнце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культура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Индии</w:t>
      </w:r>
      <w:proofErr w:type="spellEnd"/>
      <w:r w:rsidR="006F0B34">
        <w:rPr>
          <w:rFonts w:ascii="TimesNewRomanPSMT" w:eastAsia="TimesNewRomanPSMT" w:hAnsi="EuropeExtBold" w:cs="TimesNewRomanPSMT"/>
          <w:sz w:val="20"/>
          <w:szCs w:val="20"/>
        </w:rPr>
        <w:t>,</w:t>
      </w:r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история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наука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  <w:proofErr w:type="gramEnd"/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72.01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Г.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Дружинкина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6F0B34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Конструктивизм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>и деконструктивизм: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проблема формообразования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щена принципам формообразования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архитектуре конст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руктивизма и </w:t>
      </w:r>
      <w:proofErr w:type="spell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деконструктивизма</w:t>
      </w:r>
      <w:proofErr w:type="spell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Конструктивизм появился в 20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 годах XX в., а </w:t>
      </w:r>
      <w:proofErr w:type="spell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декон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структивизм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— в эпоху постмодерн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изма. Выясняются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социальные, эстетически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 предпосылки </w:t>
      </w:r>
      <w:proofErr w:type="spell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стилеобразования</w:t>
      </w:r>
      <w:proofErr w:type="spell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специфика архите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ктурных объектов П. </w:t>
      </w:r>
      <w:proofErr w:type="spell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Эйзенманна</w:t>
      </w:r>
      <w:proofErr w:type="spell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Ф.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Гери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З.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Хадид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Д.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Либескинда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др.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конструктивизм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деконструктивизм</w:t>
      </w:r>
      <w:proofErr w:type="spellEnd"/>
      <w:r w:rsidR="006F0B34">
        <w:rPr>
          <w:rFonts w:ascii="TimesNewRomanPSMT" w:eastAsia="TimesNewRomanPSMT" w:hAnsi="EuropeExt" w:cs="TimesNewRomanPSMT"/>
          <w:sz w:val="20"/>
          <w:szCs w:val="20"/>
        </w:rPr>
        <w:t>,</w:t>
      </w:r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архитектура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7.05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Ю. Емельянов, С. И. Каверин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морской технический университет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ОБРАЗ ГРИВНЫ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В ТРАДИЦИОННОМ ИСКУССТВЕ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ВОСТОЧНОГО ПРИГИНДУКУШЬЯ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(КОХИСТАН, КАФИРИСТАН)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ся гривны — традиционные шейные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украшения народов Восточного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Пригиндукушья</w:t>
      </w:r>
      <w:proofErr w:type="spell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— с точки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зрения истории, дизайна и технологии. Рассмотрено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значение символик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и этих украшений в декоративн</w:t>
      </w:r>
      <w:proofErr w:type="gram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о-</w:t>
      </w:r>
      <w:proofErr w:type="gram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прикладном искусстве региона.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гривны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декоративно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прикладное</w:t>
      </w:r>
      <w:proofErr w:type="spell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Афганистана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Кохистан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Кафиристан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мужские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женские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аксессуары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74.01/.09; 7.01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В. А. Андреева, А.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Морозкина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6F0B34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Дизайн банкнот: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>к вопросу об использовании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библиографических источников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отечественные издания и источ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ники по дизайну росс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ийских банкнот. Бумажные деньги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России имеют разны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 аспекты изучения — экономика,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история, коллекцион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ирование, при этом исследование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дизайна банкнот явл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яется новой областью искусство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ведения.</w:t>
      </w:r>
    </w:p>
    <w:p w:rsid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банкнот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производство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денежных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знаков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синтез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художественных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Bold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t>защитных</w:t>
      </w:r>
      <w:proofErr w:type="spellEnd"/>
      <w:proofErr w:type="gram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элементов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671.1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Е. А. Калашникова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Традиционная чайная японск</w:t>
      </w:r>
      <w:r w:rsidR="006F0B34">
        <w:rPr>
          <w:rFonts w:ascii="EuropeExtBold" w:hAnsi="EuropeExtBold" w:cs="EuropeExtBold"/>
          <w:b/>
          <w:bCs/>
          <w:caps/>
          <w:sz w:val="34"/>
          <w:szCs w:val="34"/>
        </w:rPr>
        <w:t>ая</w:t>
      </w:r>
      <w:r w:rsidR="006F0B34">
        <w:rPr>
          <w:rFonts w:cs="EuropeExtBold"/>
          <w:b/>
          <w:bCs/>
          <w:caps/>
          <w:sz w:val="34"/>
          <w:szCs w:val="34"/>
        </w:rPr>
        <w:t xml:space="preserve"> </w:t>
      </w:r>
      <w:r w:rsidR="006F0B34">
        <w:rPr>
          <w:rFonts w:ascii="EuropeExtBold" w:hAnsi="EuropeExtBold" w:cs="EuropeExtBold"/>
          <w:b/>
          <w:bCs/>
          <w:caps/>
          <w:sz w:val="34"/>
          <w:szCs w:val="34"/>
        </w:rPr>
        <w:t>церемония и композиционно-</w:t>
      </w: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художественная морфология</w:t>
      </w:r>
    </w:p>
    <w:p w:rsidR="00057B9B" w:rsidRPr="006F0B34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для образов ее утвари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>и аксессуаров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Рассмотрено создани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 образов национальной японской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посуды для чайной цер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емонии, представленной чугунным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чайником, обеспечивающим непосредственный режим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нагрева воды для получения необходимого пищевого настоя.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Япония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чайная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церемония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культура</w:t>
      </w:r>
      <w:proofErr w:type="spellEnd"/>
      <w:r w:rsidR="006F0B34">
        <w:rPr>
          <w:rFonts w:ascii="TimesNewRomanPSMT" w:eastAsia="TimesNewRomanPSMT" w:hAnsi="EuropeExt" w:cs="TimesNewRomanPSMT"/>
          <w:sz w:val="20"/>
          <w:szCs w:val="20"/>
        </w:rPr>
        <w:t>,</w:t>
      </w:r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  <w:proofErr w:type="gramEnd"/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539.434:677.494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Переборова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И. В. Абрамова, Е.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Ананичев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А. Антонова, А.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Коробовцева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РАЗРАБОТКА МЕТОДОВ ПОВЫШЕНИЯ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КОНКУРЕНТОСПОСОБНОСТИ АРАМИДНЫХ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ТЕКСТИЛЬНЫХ МАТЕРИАЛОВ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ОСНОВЕ КОМПЬЮТЕРНОГО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ПРОГНОЗИРОВАНИЯ ИХ РЕ ЛАКСАЦИОННО-ДЕФОРМАЦИОННЫХ СВОЙСТВ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Для повышения конкурентоспособности российских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арамидных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текстильных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материалов и изделий на их ос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нове, а также решен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ия актуальной задачи российской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экономики по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имп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ортозамещению</w:t>
      </w:r>
      <w:proofErr w:type="spellEnd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продукции предла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гается использовать компьютерное прогнозирование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релаксационно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-деформационных свойств указ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материалов, а также методики системного анализа.</w:t>
      </w:r>
    </w:p>
    <w:p w:rsid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релаксационно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деформационные</w:t>
      </w:r>
      <w:proofErr w:type="spell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математическое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компьютерное</w:t>
      </w:r>
      <w:proofErr w:type="spellEnd"/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прогнозирование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анализ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арамидные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конкурентоспособность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004.946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А. Смолин, Е. К. </w:t>
      </w:r>
      <w:proofErr w:type="spellStart"/>
      <w:proofErr w:type="gramStart"/>
      <w:r>
        <w:rPr>
          <w:rFonts w:ascii="EuropeExtBold" w:hAnsi="EuropeExtBold" w:cs="EuropeExtBold"/>
          <w:b/>
          <w:bCs/>
          <w:sz w:val="24"/>
          <w:szCs w:val="24"/>
        </w:rPr>
        <w:t>C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ысоева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Л. М.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Корпан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 xml:space="preserve">Санкт-Петербургский национальный исследовательский университет </w:t>
      </w:r>
      <w:proofErr w:type="gramStart"/>
      <w:r>
        <w:rPr>
          <w:rFonts w:ascii="EuropeExt" w:hAnsi="EuropeExt" w:cs="EuropeExt"/>
          <w:sz w:val="16"/>
          <w:szCs w:val="16"/>
        </w:rPr>
        <w:t>информационных</w:t>
      </w:r>
      <w:proofErr w:type="gram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технологий, механики и оптики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СОЗДАНИЕ ВИРТУАЛЬНОГО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МУЗЕЯ ДИЗАЙНА В ПРОЦЕССЕ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ОБУЧЕНИЯ СТУДЕНТОВ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Рассматривается создание виртуального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музея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студентами Уни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верситета ИТМО, изучающими компьютерные технологии в дизайне.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Студентами р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азрабатываются отдельные модули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музея или «выставки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», посвященные дизайну, с целью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изучения истории разви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тия дизайна, а также приобрете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ния и совершенствования навыков работы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цифровыми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технологиями.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виртуальный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музей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обучение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история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цифровые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687.01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В. Виниченко, Е. Н. Ф</w:t>
      </w:r>
      <w:r>
        <w:rPr>
          <w:rFonts w:cs="EuropeExtBold"/>
          <w:b/>
          <w:bCs/>
          <w:sz w:val="24"/>
          <w:szCs w:val="24"/>
        </w:rPr>
        <w:t>ё</w:t>
      </w:r>
      <w:r w:rsidR="00057B9B">
        <w:rPr>
          <w:rFonts w:ascii="EuropeExtBold" w:hAnsi="EuropeExtBold" w:cs="EuropeExtBold"/>
          <w:b/>
          <w:bCs/>
          <w:sz w:val="24"/>
          <w:szCs w:val="24"/>
        </w:rPr>
        <w:t>дорова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057B9B" w:rsidRPr="006F0B34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Особенности использования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>универсальн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ых средств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компьютерной графики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057B9B" w:rsidRPr="006F0B34">
        <w:rPr>
          <w:rFonts w:ascii="EuropeExtBold" w:hAnsi="EuropeExtBold" w:cs="EuropeExtBold"/>
          <w:b/>
          <w:bCs/>
          <w:caps/>
          <w:sz w:val="34"/>
          <w:szCs w:val="34"/>
        </w:rPr>
        <w:t>на этапе эскизирования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ся особенности работы с творче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ским эскизом моделе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й одежды. Дается характеристика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основных этапов ра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зработки художественного образа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костюма на основе тв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орческого источника. Отмечаются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основные качества эскизов. Показаны пути включения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творческий процесс компьютерных технологий.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индустрия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моды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костюм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компьютерная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графика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эскиз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модели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художественный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004.921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Т.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Сабирова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Е. Н.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Якуничева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РЕЦЕПТ ИГРОВОГО УРОВНЯ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: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Д</w:t>
      </w:r>
      <w:proofErr w:type="gramEnd"/>
      <w:r w:rsidR="00057B9B">
        <w:rPr>
          <w:rFonts w:ascii="EuropeExtBold" w:hAnsi="EuropeExtBold" w:cs="EuropeExtBold"/>
          <w:b/>
          <w:bCs/>
          <w:sz w:val="34"/>
          <w:szCs w:val="34"/>
        </w:rPr>
        <w:t>ОБАВЛЯЕМ ИЗЮМИНКУ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на важной части разработки ком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пьютерных игр, а именн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 — разработке игровых </w:t>
      </w:r>
      <w:proofErr w:type="spell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уровней</w:t>
      </w:r>
      <w:proofErr w:type="gramStart"/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лавная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цель статьи — рассмотреть проблему шабло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ности уровней и пут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ей ее решения. Проанализированы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основные способы, позволяющие сделать игровой уровень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запоминающимся.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видеоигра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игровой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уровень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левелдизайн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изюминка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шаблонные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преставления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неожиданный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запоминающиеся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моменты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6F0B34" w:rsidRDefault="006F0B34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6F0B34" w:rsidRDefault="006F0B34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6F0B34" w:rsidRDefault="006F0B34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004.925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Е. А. Киреева, Е. Н.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Якуничева</w:t>
      </w:r>
      <w:proofErr w:type="spell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ИСПОЛЬЗОВАНИЕ 3D-моделирования</w:t>
      </w:r>
      <w:r w:rsidR="006F0B34">
        <w:rPr>
          <w:rFonts w:cs="EuropeExtBold"/>
          <w:b/>
          <w:bCs/>
          <w:caps/>
          <w:sz w:val="34"/>
          <w:szCs w:val="34"/>
        </w:rPr>
        <w:t xml:space="preserve"> </w:t>
      </w:r>
      <w:r w:rsidRPr="006F0B34">
        <w:rPr>
          <w:rFonts w:ascii="EuropeExtBold" w:hAnsi="EuropeExtBold" w:cs="EuropeExtBold"/>
          <w:b/>
          <w:bCs/>
          <w:caps/>
          <w:sz w:val="34"/>
          <w:szCs w:val="34"/>
        </w:rPr>
        <w:t>В создании 2D-ГРАФИКИ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ена основным методам применения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3D-графики для создания 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2D-иллюстраций, концепт-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арта, комиксов и граф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ического дизайна, а также акту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альности их применен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ия. Исследуются функции разного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программного обеспечения, позволяющие работать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3D. По итогам рабо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ты были проведены обзор и клас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сификация основных методов 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совмещения трехмерной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двумерной графики.</w:t>
      </w:r>
    </w:p>
    <w:p w:rsid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компьютерная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графика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рендер</w:t>
      </w:r>
      <w:proofErr w:type="spellEnd"/>
      <w:r w:rsidR="006F0B34">
        <w:rPr>
          <w:rFonts w:ascii="TimesNewRomanPSMT" w:eastAsia="TimesNewRomanPSMT" w:hAnsi="EuropeExt" w:cs="TimesNewRomanPSMT"/>
          <w:sz w:val="20"/>
          <w:szCs w:val="20"/>
        </w:rPr>
        <w:t>,</w:t>
      </w:r>
      <w:r w:rsidR="006F0B34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/>
          <w:sz w:val="20"/>
          <w:szCs w:val="20"/>
        </w:rPr>
        <w:t>3D-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программы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 2D-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программы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цифровое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proofErr w:type="gramEnd"/>
      <w:r w:rsidR="006F0B34">
        <w:rPr>
          <w:rFonts w:ascii="TimesNewRomanPSMT" w:eastAsia="TimesNewRomanPSMT" w:hAnsi="EuropeExt" w:cs="TimesNewRomanPSMT"/>
          <w:sz w:val="20"/>
          <w:szCs w:val="20"/>
        </w:rPr>
        <w:t>,</w:t>
      </w:r>
      <w:r w:rsidR="006F0B34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иллюстрация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концепт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комикс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057B9B" w:rsidRDefault="00057B9B" w:rsidP="006F0B34">
      <w:pPr>
        <w:jc w:val="both"/>
        <w:rPr>
          <w:rFonts w:eastAsia="TimesNewRomanPSMT" w:cs="TimesNewRomanPSMT"/>
          <w:sz w:val="20"/>
          <w:szCs w:val="20"/>
        </w:rPr>
      </w:pP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67.017 (679.7)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Переборова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</w:t>
      </w:r>
      <w:r w:rsidR="006F0B34">
        <w:rPr>
          <w:rFonts w:ascii="EuropeExtBold" w:hAnsi="EuropeExtBold" w:cs="EuropeExtBold"/>
          <w:b/>
          <w:bCs/>
          <w:sz w:val="24"/>
          <w:szCs w:val="24"/>
        </w:rPr>
        <w:t xml:space="preserve">Е. А. </w:t>
      </w:r>
      <w:proofErr w:type="spellStart"/>
      <w:r w:rsidR="006F0B34">
        <w:rPr>
          <w:rFonts w:ascii="EuropeExtBold" w:hAnsi="EuropeExtBold" w:cs="EuropeExtBold"/>
          <w:b/>
          <w:bCs/>
          <w:sz w:val="24"/>
          <w:szCs w:val="24"/>
        </w:rPr>
        <w:t>Ананичев</w:t>
      </w:r>
      <w:proofErr w:type="spellEnd"/>
      <w:r w:rsidR="006F0B34">
        <w:rPr>
          <w:rFonts w:ascii="EuropeExtBold" w:hAnsi="EuropeExtBold" w:cs="EuropeExtBold"/>
          <w:b/>
          <w:bCs/>
          <w:sz w:val="24"/>
          <w:szCs w:val="24"/>
        </w:rPr>
        <w:t>, И. А. Антонова,</w:t>
      </w:r>
      <w:r w:rsidR="006F0B34">
        <w:rPr>
          <w:rFonts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О. Э.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Каланчук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И. В. Абрамова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057B9B" w:rsidRDefault="006F0B34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РАЗРАБОТКА МЕТОДОВ ИССЛЕДОВАНИЯ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УПРУГО-ДЕФОРМАЦИОННЫХ СВОЙСТВ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057B9B">
        <w:rPr>
          <w:rFonts w:ascii="EuropeExtBold" w:hAnsi="EuropeExtBold" w:cs="EuropeExtBold"/>
          <w:b/>
          <w:bCs/>
          <w:sz w:val="34"/>
          <w:szCs w:val="34"/>
        </w:rPr>
        <w:t>ТЕКСТИЛЬНЫХ КАНАТОВ</w:t>
      </w:r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Изучаются мето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ды исследования упруго-деформа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ционных свойств текстильных ка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натов, позволяющие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провести качес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твенную оценку эксплуатационных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функциональных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характеристик этих материалов.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Исследование проводится на основе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математического</w:t>
      </w:r>
      <w:proofErr w:type="gramEnd"/>
    </w:p>
    <w:p w:rsidR="00057B9B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моделирования и ко</w:t>
      </w:r>
      <w:r w:rsidR="006F0B34">
        <w:rPr>
          <w:rFonts w:ascii="TimesNewRomanPS-ItalicMT" w:hAnsi="TimesNewRomanPS-ItalicMT" w:cs="TimesNewRomanPS-ItalicMT"/>
          <w:i/>
          <w:iCs/>
          <w:sz w:val="20"/>
          <w:szCs w:val="20"/>
        </w:rPr>
        <w:t>мпьютерного прогнозирования ре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лаксации и ползучести текстильных канатов.</w:t>
      </w:r>
    </w:p>
    <w:p w:rsidR="00057B9B" w:rsidRPr="006F0B34" w:rsidRDefault="00057B9B" w:rsidP="006F0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полимерные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текстильные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канаты</w:t>
      </w:r>
      <w:proofErr w:type="spellEnd"/>
      <w:proofErr w:type="gramStart"/>
      <w:r w:rsidR="006F0B34">
        <w:rPr>
          <w:rFonts w:ascii="TimesNewRomanPSMT" w:eastAsia="TimesNewRomanPSMT" w:hAnsi="EuropeExtBold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</w:t>
      </w:r>
      <w:proofErr w:type="gramEnd"/>
      <w:r>
        <w:rPr>
          <w:rFonts w:ascii="TimesNewRomanPSMT" w:eastAsia="TimesNewRomanPSMT" w:hAnsi="EuropeExtBold" w:cs="TimesNewRomanPSMT" w:hint="eastAsia"/>
          <w:sz w:val="20"/>
          <w:szCs w:val="20"/>
        </w:rPr>
        <w:t>атематическое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упруго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деформационные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  <w:bookmarkEnd w:id="0"/>
    </w:p>
    <w:sectPr w:rsidR="00057B9B" w:rsidRPr="006F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B"/>
    <w:rsid w:val="00057B9B"/>
    <w:rsid w:val="006F0B34"/>
    <w:rsid w:val="00A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2019-08-06T09:56:00Z</dcterms:created>
  <dcterms:modified xsi:type="dcterms:W3CDTF">2019-08-06T10:14:00Z</dcterms:modified>
</cp:coreProperties>
</file>