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82543">
        <w:rPr>
          <w:rFonts w:ascii="Times New Roman" w:hAnsi="Times New Roman" w:cs="Times New Roman"/>
          <w:sz w:val="16"/>
          <w:szCs w:val="16"/>
        </w:rPr>
        <w:t>УДК 7.02+621.3+621.81/82 (07)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В. Л. Жуков, А. Е.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Савосина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АНИМАЛИСТИ</w:t>
      </w:r>
      <w:r w:rsidR="00382543">
        <w:rPr>
          <w:rFonts w:ascii="Times New Roman" w:hAnsi="Times New Roman" w:cs="Times New Roman"/>
          <w:b/>
          <w:bCs/>
          <w:sz w:val="24"/>
          <w:szCs w:val="24"/>
        </w:rPr>
        <w:t xml:space="preserve">ЧЕСКИЙ КЛАСТЕР ЭНТОМОЛОГИЧЕСКИХ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ОБРАЗОВ ЮВЕЛИРНЫХ ИЗДЕЛИЙ ЭВОЛЮЦИИ</w:t>
      </w:r>
      <w:r w:rsidR="0038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МИФОПОЭТИКИ АНТИЧНЫХ КУЛЬТУР ЕГИПТА, ГРЕЦИИ</w:t>
      </w:r>
      <w:r w:rsidR="0038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И КИТАЯ ПРЕДМЕТНОЙ ОБЛАСТИ ОБЪЕКТОВ ДИЗАЙНА,</w:t>
      </w:r>
      <w:r w:rsidR="0038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ПРЕДСТАВЛЕННЫХ ВИЗУАЛЬНЫМИ КОГНИТИВНЫМИ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ИНФОРМАЦИОННЫМИ ДИНАМИЧЕСКИМИ СИСТЕМАМИ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Представлены резул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ьтаты исследования когнитивного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моделирования художественного образа ювелирных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изделийна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основе образов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мифопоэтики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энтомологических ассоциаций фауны — стрекозы, жука-скарабея, скорпиона —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в античных культурах Египта, Греции и Китая.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визуальные когнитивные информационные динамические системы, дизайн, ювелирные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изделия, насекомые,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биоформы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, энтомология.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43">
        <w:rPr>
          <w:rFonts w:ascii="Times New Roman" w:hAnsi="Times New Roman" w:cs="Times New Roman"/>
          <w:b/>
          <w:bCs/>
          <w:sz w:val="16"/>
          <w:szCs w:val="16"/>
        </w:rPr>
        <w:t>УДК 37.041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И. Н. Сафронова, Т.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Балланд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 xml:space="preserve">МОДНЫЙ МАГАЗИН ХХI </w:t>
      </w:r>
      <w:proofErr w:type="gramStart"/>
      <w:r w:rsidRPr="00382543">
        <w:rPr>
          <w:rFonts w:ascii="Times New Roman" w:hAnsi="Times New Roman" w:cs="Times New Roman"/>
          <w:b/>
          <w:bCs/>
          <w:sz w:val="34"/>
          <w:szCs w:val="34"/>
        </w:rPr>
        <w:t>в</w:t>
      </w:r>
      <w:proofErr w:type="gramEnd"/>
      <w:r w:rsidRPr="00382543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Статья посвящен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а рассмотрению методов создания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оптимальных условий для контакта потенциального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потребителя с определенным товаром в сфере дизайна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костюма, повышения покупательской способности,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управления пространством и ощущениями покупателей,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формирования имиджа модного магазина. Проведен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анализ примеров креативных решений предложений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модных изделий и психологии потребителей.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концептуальный магазин, формирование пространства, визуальный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мерчендайзинг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, кап-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сульный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 гардероб, «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total-look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», психология потребителя.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7.011:7.036:658.512.23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И. С. Костюк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382543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ИСТОКИ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СПЕКУЛЯТИВНОГО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ДИЗАЙН-МЫШЛЕНИЯ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Рассматриваются общие тенденции развития коммуникативной среды и образ нового потребителя-пользователя, которой в силу своих новых навыков и убеждений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выступает активным участником формирующего процесса окружающей ср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>еды и объектов пользования. Клю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чевым моментом повествования выступает зарождение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нового типа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дизайн-мышления</w:t>
      </w:r>
      <w:proofErr w:type="gramEnd"/>
      <w:r w:rsidRPr="00382543">
        <w:rPr>
          <w:rFonts w:ascii="Times New Roman" w:hAnsi="Times New Roman" w:cs="Times New Roman"/>
          <w:i/>
          <w:iCs/>
          <w:sz w:val="20"/>
          <w:szCs w:val="20"/>
        </w:rPr>
        <w:t>, острота, критичность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прогностичность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которого способствуют созданию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нового вида дизайн-продуктов.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спекулятивный дизайн, критическое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мышление, спекулятивное знание, гибкое мышление,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фикция, абстрактное мышление.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671.1; 745.03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Е. А.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Сильянова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>, С. И. Галанин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Костромской государственный университет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СТИЛЬ МОДЕРН В СОВРЕМЕННЫХ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ЮВЕЛИРНЫХ УКРАШЕНИЯХ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Рассмотрены ювелирные украшения в стиле модерн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ряда современных брендов и фирм. Выделены основные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схожие черты,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прослеживающиеся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в их ассортиментной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политике. Показано, 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>что на современном рынке ювелир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ных изделий присутствует достаточное количество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производителей, работающих в этом стиле и с успехом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использующих современные материалы и технологии.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стиль модерн, ювелирные изделия,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современные материалы и технологии.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004.925.5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Е. В. Боревич</w:t>
      </w:r>
      <w:proofErr w:type="gramStart"/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proofErr w:type="gramEnd"/>
      <w:r w:rsidRPr="00382543">
        <w:rPr>
          <w:rFonts w:ascii="Times New Roman" w:hAnsi="Times New Roman" w:cs="Times New Roman"/>
          <w:b/>
          <w:bCs/>
          <w:sz w:val="24"/>
          <w:szCs w:val="24"/>
        </w:rPr>
        <w:t>, И. В. Орлова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, М. А. Южаков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, В. Э. Янчус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1 </w:t>
      </w:r>
      <w:r w:rsidRPr="00382543">
        <w:rPr>
          <w:rFonts w:ascii="Times New Roman" w:hAnsi="Times New Roman" w:cs="Times New Roman"/>
          <w:sz w:val="16"/>
          <w:szCs w:val="16"/>
        </w:rPr>
        <w:t>Санкт-Петербургский политехнический университет Петра Великого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2 </w:t>
      </w: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lastRenderedPageBreak/>
        <w:t>МЕТОДЫ ИССЛЕДОВАНИЯ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ВИЗУАЛЬНОЙ ПРИВЛЕКАТЕЛЬНОСТИ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КИНОКАДРА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Статья представляет собой описание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методов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исследования влияния фактора цветового решения кинокадра</w:t>
      </w:r>
      <w:proofErr w:type="gramEnd"/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на его визуальную привлекательность. Авторы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утверждают, что существует три этапа восприятия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изображения человеком. Установлено, что влияние фактора цветового решения на визуальную привлекательность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зависит от жизненного опыта испытуемого. Авторы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указывают на необходимость дальнейшего исследования с использованием формы для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on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line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-тестирования.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: цветовое решение, кинокадр,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гештальт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-теория, визуальная привлекательность, зрительная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система человека.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7.02:658.512.2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В. Л. Жуков, Л. Т. Жукова, М. А. Трусова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ОБЪЕКТИВНЫЕ КОГНИТИВНЫЕ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ИСКАЖЕНИЯ РЕАЛЬНОСТИ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РАСТИТЕЛЬНЫХ БИОСИСТЕМ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 МИФОПОЭТИЧЕСКОМ КОДИРОВАНИИ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ИНФОРМАЦИИ В ОБРАЗАХ ЦВЕТОВ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(МАКИ), ПРЕДСТАВЛЕННЫХ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 ОБЪЕКТАХ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Данная работа посвящена исследованию влияния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морфологии цветковых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маковые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)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подсистем расти-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тельных биосистем на творчество классиков русской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европейской поэзии и живописи, представляющих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символизм, и на формирование художественных образов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объектов дизайна в ювелирных изделиях.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биосистемы, дизайн, мак, натюрморт, символизм.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</w:rPr>
        <w:t>УДК 769.91 (659.133.1.085.8)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И.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Натус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СИСТЕМНЫЙ АНАЛИЗ</w:t>
      </w:r>
      <w:r w:rsid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ФУНКЦИОНАЛЬНЫХ ОСОБЕННОСТЕЙ</w:t>
      </w:r>
      <w:r w:rsid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РАЗМЕЩЕНИЯ НАРУЖНОЙ РЕКЛАМЫ</w:t>
      </w:r>
      <w:r w:rsid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В ГОРОДСКОЙ СРЕДЕ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Проанализированы основные функциональные особенности размещения наружной рекламы относительно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градостроительной среды мегаполиса.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>: наружная реклама, размещение</w:t>
      </w:r>
      <w:r w:rsid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>наружной рекламы, функция, городская среда</w:t>
      </w:r>
      <w:r w:rsidRPr="00382543">
        <w:rPr>
          <w:rFonts w:ascii="Times New Roman" w:eastAsia="TimesNewRomanPSMT" w:hAnsi="Times New Roman" w:cs="Times New Roman"/>
          <w:color w:val="EE1D24"/>
          <w:sz w:val="20"/>
          <w:szCs w:val="20"/>
        </w:rPr>
        <w:t>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7.011:7.036:658.512.23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И. С. Костюк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ПРИМЕНЯЕМОСТЬ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ОСНОВНЫХ ПОЛОЖЕНИЙ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 xml:space="preserve">МЕТОДОЛОГИИ </w:t>
      </w:r>
      <w:proofErr w:type="gramStart"/>
      <w:r w:rsidRPr="00382543">
        <w:rPr>
          <w:rFonts w:ascii="Times New Roman" w:hAnsi="Times New Roman" w:cs="Times New Roman"/>
          <w:b/>
          <w:bCs/>
          <w:sz w:val="34"/>
          <w:szCs w:val="34"/>
        </w:rPr>
        <w:t>СЕМИОТИЧЕСКОГО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ДИСКУРСИВНОГО МОДЕЛИРОВАНИЯ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К СПЕКУЛЯТИВНОЙ ФОРМЕ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ПРОЕКТИРОВАНИЯ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Рассматриваются общие положения методологии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семиотического дискурсивного моделирования как практики,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позволяющей не только проектировать форму,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создавая дизайн-продукт, но наполнять этот продукт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смыслом. Ключевой целью работы является соотношение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принципов семиотического дискурсивного моделирования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с методами спекулятивного дизайна. Результатом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рабо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ты станут выводы возможности или невозможности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применения общих положений методологии к формам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спекулятивного проектирования.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спекулятивный дизайн, критическое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мышление, дискурсивное моделирование,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коммуни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кативный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 дизайн, абстрактное мышление, креативное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моделирование.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lastRenderedPageBreak/>
        <w:t>УДК 745.11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М. М. Черных, Е.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Каргашина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>, П. А. Останина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Ижевский государственный технический университет им. М. Т. Калашникова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ЭСТЕТИКА РЕЛЬЕФНЫХ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ОРНАМЕНТОВ ИЗ ДРЕВЕСИНЫ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 ТРУДОЕМКОСТЬ ИХ ОБРАБОТКИ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ПРИ АВТОМАТИЗИРОВАННОМ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ПРОИЗВОДСТВЕ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Классифицированы по степени рельефности орнаменты, оформляемые фрезерованием на изделиях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из древесины. Показано влияние степени рельефности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расположения рель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>ефа относительно фона на эстети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ческое восприятие орнаментов, трудоемкость станочной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обработки и ручной доводки.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орнамент, рельеф, фрезерование,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стратегия, древесина, автоматизированное производство,</w:t>
      </w:r>
    </w:p>
    <w:p w:rsidR="001B64AC" w:rsidRPr="00154C90" w:rsidRDefault="001B64AC" w:rsidP="00154C90">
      <w:pPr>
        <w:jc w:val="both"/>
        <w:rPr>
          <w:rFonts w:ascii="Times New Roman" w:hAnsi="Times New Roman" w:cs="Times New Roman"/>
          <w:lang w:val="en-US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трудоемкость</w:t>
      </w:r>
      <w:r w:rsidRPr="00154C90">
        <w:rPr>
          <w:rFonts w:ascii="Times New Roman" w:eastAsia="TimesNewRomanPSMT" w:hAnsi="Times New Roman" w:cs="Times New Roman"/>
          <w:sz w:val="20"/>
          <w:szCs w:val="20"/>
          <w:lang w:val="en-US"/>
        </w:rPr>
        <w:t>.</w:t>
      </w:r>
    </w:p>
    <w:p w:rsidR="001B64AC" w:rsidRPr="00154C90" w:rsidRDefault="001B64AC" w:rsidP="00154C90">
      <w:pPr>
        <w:jc w:val="both"/>
        <w:rPr>
          <w:rFonts w:ascii="Times New Roman" w:hAnsi="Times New Roman" w:cs="Times New Roman"/>
          <w:lang w:val="en-US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82543">
        <w:rPr>
          <w:rFonts w:ascii="Times New Roman" w:hAnsi="Times New Roman" w:cs="Times New Roman"/>
          <w:sz w:val="16"/>
          <w:szCs w:val="16"/>
          <w:lang w:val="en-US"/>
        </w:rPr>
        <w:t>UDC 745.11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>Chernykh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V.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>Kargashina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P. A.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  <w:lang w:val="en-US"/>
        </w:rPr>
        <w:t>Ostanina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82543">
        <w:rPr>
          <w:rFonts w:ascii="Times New Roman" w:hAnsi="Times New Roman" w:cs="Times New Roman"/>
          <w:sz w:val="16"/>
          <w:szCs w:val="16"/>
          <w:lang w:val="en-US"/>
        </w:rPr>
        <w:t>Kalashnikov Izhevsk State Technical University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>AESTHETICS OF EMBOSSED</w:t>
      </w:r>
      <w:r w:rsid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>WOODEN ORNAMENTS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>AND LABOR INTENSITY</w:t>
      </w:r>
      <w:r w:rsid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>OF THEIR MACHINING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  <w:lang w:val="en-US"/>
        </w:rPr>
        <w:t>IN AUTOMATED MANUFACTURING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ornaments milled on wooden products are classified by</w:t>
      </w:r>
      <w:r w:rsid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embossment degrees. The influence of embossment degree</w:t>
      </w:r>
      <w:r w:rsid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and position against the background on aesthetic perception</w:t>
      </w:r>
      <w:r w:rsid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of embossments, labor intensity of machining and manual</w:t>
      </w:r>
      <w:r w:rsid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finishing is demonstrated.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en-US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</w:t>
      </w:r>
      <w:r w:rsidRPr="00382543">
        <w:rPr>
          <w:rFonts w:ascii="Times New Roman" w:eastAsia="TimesNewRomanPSMT" w:hAnsi="Times New Roman" w:cs="Times New Roman"/>
          <w:sz w:val="20"/>
          <w:szCs w:val="20"/>
          <w:lang w:val="en-US"/>
        </w:rPr>
        <w:t>: ornament, embossment, milling, strategy,</w:t>
      </w:r>
    </w:p>
    <w:p w:rsidR="001B64AC" w:rsidRPr="00154C90" w:rsidRDefault="001B64AC" w:rsidP="00154C90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382543">
        <w:rPr>
          <w:rFonts w:ascii="Times New Roman" w:eastAsia="TimesNewRomanPSMT" w:hAnsi="Times New Roman" w:cs="Times New Roman"/>
          <w:sz w:val="20"/>
          <w:szCs w:val="20"/>
          <w:lang w:val="en-US"/>
        </w:rPr>
        <w:t>wood</w:t>
      </w:r>
      <w:proofErr w:type="gramEnd"/>
      <w:r w:rsidRPr="00382543">
        <w:rPr>
          <w:rFonts w:ascii="Times New Roman" w:eastAsia="TimesNewRomanPSMT" w:hAnsi="Times New Roman" w:cs="Times New Roman"/>
          <w:sz w:val="20"/>
          <w:szCs w:val="20"/>
          <w:lang w:val="en-US"/>
        </w:rPr>
        <w:t>, automated production, labor intensity.</w:t>
      </w:r>
    </w:p>
    <w:p w:rsidR="001B64AC" w:rsidRPr="00154C90" w:rsidRDefault="001B64AC" w:rsidP="00154C90">
      <w:pPr>
        <w:jc w:val="both"/>
        <w:rPr>
          <w:rFonts w:ascii="Times New Roman" w:hAnsi="Times New Roman" w:cs="Times New Roman"/>
          <w:lang w:val="en-US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74+7.023.1+745.03+745.5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Р. М.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Лобацкая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Л. Т. Жукова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1 </w:t>
      </w:r>
      <w:r w:rsidRPr="00382543">
        <w:rPr>
          <w:rFonts w:ascii="Times New Roman" w:hAnsi="Times New Roman" w:cs="Times New Roman"/>
          <w:sz w:val="16"/>
          <w:szCs w:val="16"/>
        </w:rPr>
        <w:t>Иркутский национальный исследовательский технический университет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2 </w:t>
      </w: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ЮВЕЛИРНЫЕ МАТЕРИАЛЫ,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ДИЗАЙН И ТЕХНОЛОГИИ XX–XXI вв.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 ИХ РОЛЬ В ИЗМЕНЕНИИ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ПОНЯТИЙНОЙ БАЗЫ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ЛИЧНЫХ УКРАШЕНИЙ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Одна из актуальных терминологических проблем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в понятийной базе ювелирного искусства связана с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прин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ципиальными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изменениями в создании класса современных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личных ювелирных украшений. С начала ХХ в. </w:t>
      </w:r>
      <w:r w:rsidR="00382543" w:rsidRPr="00382543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велирное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искусство стало активно использовать не только драгоценные, но и не драгоценные материалы. Этот процесс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принципиально изменил понятийную базу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современного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ювелирного искусства.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: личные ювелирные украшения, терминология, драгоценности, </w:t>
      </w:r>
      <w:proofErr w:type="gramStart"/>
      <w:r w:rsidRPr="00382543">
        <w:rPr>
          <w:rFonts w:ascii="Times New Roman" w:eastAsia="TimesNewRomanPSMT" w:hAnsi="Times New Roman" w:cs="Times New Roman"/>
          <w:sz w:val="20"/>
          <w:szCs w:val="20"/>
        </w:rPr>
        <w:t>бридж-изделия</w:t>
      </w:r>
      <w:proofErr w:type="gramEnd"/>
      <w:r w:rsidRPr="00382543">
        <w:rPr>
          <w:rFonts w:ascii="Times New Roman" w:eastAsia="TimesNewRomanPSMT" w:hAnsi="Times New Roman" w:cs="Times New Roman"/>
          <w:sz w:val="20"/>
          <w:szCs w:val="20"/>
        </w:rPr>
        <w:t>, бижутерия.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621.777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О. А. Казачкова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В. Б. Лившиц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Е. С.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Бобкова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Е. И. Попов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1 </w:t>
      </w:r>
      <w:r w:rsidRPr="00382543">
        <w:rPr>
          <w:rFonts w:ascii="Times New Roman" w:hAnsi="Times New Roman" w:cs="Times New Roman"/>
          <w:sz w:val="16"/>
          <w:szCs w:val="16"/>
        </w:rPr>
        <w:t>Московский технологический университет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2 </w:t>
      </w:r>
      <w:r w:rsidRPr="00382543">
        <w:rPr>
          <w:rFonts w:ascii="Times New Roman" w:hAnsi="Times New Roman" w:cs="Times New Roman"/>
          <w:sz w:val="16"/>
          <w:szCs w:val="16"/>
        </w:rPr>
        <w:t>Российский государственный университет нефти и газа им. И. М. Губкина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43">
        <w:rPr>
          <w:rFonts w:ascii="Times New Roman" w:hAnsi="Times New Roman" w:cs="Times New Roman"/>
          <w:b/>
          <w:bCs/>
          <w:sz w:val="28"/>
          <w:szCs w:val="28"/>
        </w:rPr>
        <w:t>ЛИТЬЕ С КРИСТАЛЛИЗАЦИЕЙ ПОД ДАВЛЕНИЕМ</w:t>
      </w:r>
      <w:r w:rsidR="0038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8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28"/>
          <w:szCs w:val="28"/>
        </w:rPr>
        <w:t>МНОГОМЕСТНЫХ ШТАМПАХ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Разработан и применен на практике многоместный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штамп для изготовления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сложнопрофильных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художе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ственных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отливок методом литья с кристаллизацией под давлением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ЛКД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)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массой до 100 г из цветных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сплавов. Для изготовления художественных отливок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массой до 5 кг рекомендована конструкция 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ногогнездной</w:t>
      </w:r>
      <w:proofErr w:type="spellEnd"/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пресс-формы со сборным пуансоном. Показано,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что при переводе изготовления изделий, выполненных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различными методами формообразования, на ЛКД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увеличивается производительность труда и снижается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себестоимость изделий.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: литье с кристаллизацией под давлением, формообразующие элементы, </w:t>
      </w:r>
      <w:proofErr w:type="gramStart"/>
      <w:r w:rsidRPr="00382543">
        <w:rPr>
          <w:rFonts w:ascii="Times New Roman" w:eastAsia="TimesNewRomanPSMT" w:hAnsi="Times New Roman" w:cs="Times New Roman"/>
          <w:sz w:val="20"/>
          <w:szCs w:val="20"/>
        </w:rPr>
        <w:t>многоместный</w:t>
      </w:r>
      <w:proofErr w:type="gramEnd"/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штамп, многоместная пресс-форма, цветные сплавы.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74+7.023.1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А. А.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Войтюк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Р. М.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Лобацкая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Иркутский национальный исследовательский технический университет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СОВРЕМЕННОЕ ДЕКОРИРОВАНИЕ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ЮВЕЛИРНЫХ ИЗДЕЛИЙ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 xml:space="preserve">С ПРИМЕНЕНИЕМ </w:t>
      </w:r>
      <w:proofErr w:type="gramStart"/>
      <w:r w:rsidRPr="00382543">
        <w:rPr>
          <w:rFonts w:ascii="Times New Roman" w:hAnsi="Times New Roman" w:cs="Times New Roman"/>
          <w:b/>
          <w:bCs/>
          <w:sz w:val="34"/>
          <w:szCs w:val="34"/>
        </w:rPr>
        <w:t>ЛАЗЕРНОЙ</w:t>
      </w:r>
      <w:proofErr w:type="gramEnd"/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ГРАВИРОВКИ НА ПРИМЕРЕ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ИСПОЛЬЗОВАНИЯ ВИЗУАЛИЗАЦИИ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ЦИФРОВОЙ АУДИОЗАПИСИ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Сближение сфер в современной науке привело к появлению «гибридных» областей знания. Авторами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предложен способ синтеза современной IT-технологии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ювелирного дизайна, заключающийся в создании текстуры визуализированной аудиозаписи, которая сохраняет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воспроизводит заложенный в ней смысл.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ювелирный дизайн, аудиозапись,</w:t>
      </w:r>
      <w:r w:rsidR="0038254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визуализация, текстура, ювелирное изделие, лазерная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гравировка, технология, музыка.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655.335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М. М. Черных, М. А. Ипатова, П. А. Останина, Е.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Каргашина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Ижевский государственный технический университет им. М. Т. Калашникова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ТРАФАРЕТНАЯ ПЕЧАТЬ НА МЕБЕЛИ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ИЗ ЛАМИНИРОВАННОЙ</w:t>
      </w:r>
      <w:r w:rsidR="0038254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ДРЕВЕСНО-СТРУЖЕЧНОЙ ПЛИТЫ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Трафаретная печать, выполненная на элементах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мебели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из</w:t>
      </w:r>
      <w:proofErr w:type="gram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ламинированной древесно-стружечной пли-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ты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ЛДСП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, улучшает дизайн мебели и способствует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повышению ее конкурентоспособности. Исследована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адгезия краски, нанесенной трафаретной печатью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на ЛДСП. Показано существенное влияние на уровень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адгезии вида используемого очистителя, содержания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в красочном составе у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>силителя адгезии, вида и продол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жительности сушки. Для обеспечения высокого уровня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адгезии краски TEXILON 58.000 с ЛДСП необходимо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добавлять в краску усилитель адгезии PROMOTORE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DI ADESIONE 90.908 в количестве 10–12,5 % от массы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краски, применять в качестве очистителей растворитель</w:t>
      </w:r>
      <w:r w:rsid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646 или этилацетат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А</w:t>
      </w:r>
      <w:proofErr w:type="gramEnd"/>
      <w:r w:rsidRPr="00382543">
        <w:rPr>
          <w:rFonts w:ascii="Times New Roman" w:hAnsi="Times New Roman" w:cs="Times New Roman"/>
          <w:i/>
          <w:iCs/>
          <w:sz w:val="20"/>
          <w:szCs w:val="20"/>
        </w:rPr>
        <w:t>, осуществлять конвекционную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сушку не менее чем в течение 4 ч или комнатную сушку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не менее чем в течение 48 ч.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трафаретная печать, мебель, ламинированная древесно-стружечная плита, адгезия, краска.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  <w:lang w:val="en-US"/>
        </w:rPr>
        <w:t>UDC 655.335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Chernykh</w:t>
      </w:r>
      <w:proofErr w:type="spellEnd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Ipatova</w:t>
      </w:r>
      <w:proofErr w:type="spellEnd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P. 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Ostanina</w:t>
      </w:r>
      <w:proofErr w:type="spellEnd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E. V.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Kargashina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  <w:lang w:val="en-US"/>
        </w:rPr>
        <w:t>Kalashnikov Izhevsk State Technical University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</w:pP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SCREEN PRINTING ON FURNITURE</w:t>
      </w:r>
      <w:r w:rsidR="007E456A"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FROM LAMINATED WOOD CHIPBOARD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Screen printing on furniture elements from laminated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wood chipboard 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(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LWCB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)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improves the furniture design and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competitiveness</w:t>
      </w:r>
      <w:proofErr w:type="gramEnd"/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. In this article, the paint adhesion applied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with screen printing onto LWCB is investigated. The significant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influence of the cleanser type used on the adhesion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level, content of adhesion promoter in the paint composition,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type and duration of drying is demonstrated. To provide a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high adhesion level of paint TEXILON 58.000 with LWCB,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it is necessary to add adhesion promoter PROMOTORE DI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ADESIONE 90.908 to the paint in the amount of 10–12.5 %</w:t>
      </w:r>
      <w:r w:rsidR="007E456A">
        <w:rPr>
          <w:rFonts w:ascii="Times New Roman" w:hAnsi="Times New Roman" w:cs="Times New Roman"/>
          <w:b/>
          <w:bCs/>
          <w:color w:val="FFFFFF"/>
          <w:sz w:val="16"/>
          <w:szCs w:val="16"/>
          <w:lang w:val="en-US"/>
        </w:rPr>
        <w:t xml:space="preserve"> </w:t>
      </w:r>
      <w:r w:rsidRPr="007E456A">
        <w:rPr>
          <w:rFonts w:ascii="Times New Roman" w:hAnsi="Times New Roman" w:cs="Times New Roman"/>
          <w:b/>
          <w:bCs/>
          <w:color w:val="FFFFFF"/>
          <w:sz w:val="16"/>
          <w:szCs w:val="16"/>
          <w:lang w:val="en-US"/>
        </w:rPr>
        <w:t xml:space="preserve">8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from the paint mass, to apply solvent 646 or ethyl acetate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as cleansers, to use convection drying for no less than 4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hours, or room drying for no less than 48 hours.</w:t>
      </w:r>
    </w:p>
    <w:p w:rsidR="001B64AC" w:rsidRPr="007E456A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Keywords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: screen printing, furniture, laminated wood</w:t>
      </w:r>
      <w:r w:rsidR="007E456A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E456A">
        <w:rPr>
          <w:rFonts w:ascii="Times New Roman" w:eastAsia="TimesNewRomanPSMT" w:hAnsi="Times New Roman" w:cs="Times New Roman"/>
          <w:color w:val="000000"/>
          <w:sz w:val="20"/>
          <w:szCs w:val="20"/>
          <w:lang w:val="en-US"/>
        </w:rPr>
        <w:t>chipboard, adhesion, paint.</w:t>
      </w:r>
    </w:p>
    <w:p w:rsidR="001B64AC" w:rsidRPr="007E456A" w:rsidRDefault="001B64AC" w:rsidP="00154C90">
      <w:pPr>
        <w:jc w:val="both"/>
        <w:rPr>
          <w:rFonts w:ascii="Times New Roman" w:hAnsi="Times New Roman" w:cs="Times New Roman"/>
          <w:lang w:val="en-US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671.4.022, 75.025.1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В. Б. Лившиц, Н. Е.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Мильчакова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А. Э.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Дрюкова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Московский технологический университет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РЕСТАВРАЦИЯ И ДИЗАЙН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ХУДОЖЕСТВЕННЫХ ИЗДЕЛИЙ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МЕТОДАМИ ЖИДКОЙ И ПОЛУЖИДКОЙ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lastRenderedPageBreak/>
        <w:t>ШТАМПОВКИ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Опробовано примен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ение ряда технологий для восста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новления утраченного дизайна древних металлических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артефактов при их реставрации методами жидкой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полужидкой штамповки. Определены возможности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реставрации изделий с трехмерным изображением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на аверсе и реверсе методом жидкой и полужидкой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штамповки.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дизайн, реставрация, жидкая и полужидкая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штамповка, прессы, пресс-форма, артефакты.</w:t>
      </w:r>
      <w:proofErr w:type="gramEnd"/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2543">
        <w:rPr>
          <w:rFonts w:ascii="Times New Roman" w:hAnsi="Times New Roman" w:cs="Times New Roman"/>
          <w:b/>
          <w:bCs/>
          <w:sz w:val="16"/>
          <w:szCs w:val="16"/>
        </w:rPr>
        <w:t>УДК 7.02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Л. Т. Жукова, И. И.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Гирсов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Перспективы использования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технологии лазерной маркировки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 дизайне промышленных изделий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Рассмотрены сов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ременные способы лазерной марки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ровки промышленных изделий. Дан сравнительный анализ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технологий получения изображений на поверхности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изделий. Оценены перспективы применения технологий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лазерной маркировки в дизайне промышленных изделий.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лазерные технологии, дизайн, технологический процесс, лазерная маркировка, проектирование.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745.512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Т. Ю.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Чужанова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Я. С.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Кикнадзе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Стилизация традиционных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форм домашней утвари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 национально-романтическом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направлении русского стиля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в период расцвета стиля модерн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(конец XIX — начало XX в.)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Исследуется стилизация форм национальной русской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посуды в духе национально-романтического направления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русского стиля, которы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й совпадает хронологически с пе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риодом расцвета стиля модерн. Материалом для анализа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послужили изделия дом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ашней утвари, находящиеся в кол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лекции Всероссийского музея декоративно-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прикладногои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народного искусства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утварь, национально-романтическое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направление, русский стиль, модерн.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7.048:677 (075.8)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А.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Труевцев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А. В. Кузнецов, Е. М. Ермолаева, В. А.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Чувашов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ПЕТРОГЛИФЫ КАРЕЛИИ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 СОВРЕМЕННОМ ДИЗАЙНЕ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ИНТЕРЬЕРНОГО ТЕКСТИЛЯ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Проанализирован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ы возможности применения карель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ских петроглифов в текстиле для интерьера. Предложены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изделия, полученные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методом машинного вязания и ме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тодом печати на холсте. Отмечена целесообразность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использования наскальных изображений в элементах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скандинавского интерьера и интерьера в стиле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лофт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: Карелия, петроглиф, интерьер,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лофт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скандинавский стиль, трикотаж, печать на холсте.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658.512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Е.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Дубовцева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>, К. С. Ившин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Удмуртский государственный университет, г. Ижевск</w:t>
      </w:r>
    </w:p>
    <w:p w:rsidR="007E456A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КОНЦЕПТУАЛИЗАЦИЯ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gramStart"/>
      <w:r w:rsidRPr="00382543">
        <w:rPr>
          <w:rFonts w:ascii="Times New Roman" w:hAnsi="Times New Roman" w:cs="Times New Roman"/>
          <w:b/>
          <w:bCs/>
          <w:sz w:val="34"/>
          <w:szCs w:val="34"/>
        </w:rPr>
        <w:t>НАЦИОНАЛЬНЫХ</w:t>
      </w:r>
      <w:proofErr w:type="gramEnd"/>
      <w:r w:rsidRPr="00382543">
        <w:rPr>
          <w:rFonts w:ascii="Times New Roman" w:hAnsi="Times New Roman" w:cs="Times New Roman"/>
          <w:b/>
          <w:bCs/>
          <w:sz w:val="34"/>
          <w:szCs w:val="34"/>
        </w:rPr>
        <w:t xml:space="preserve"> ДИЗАЙН-ПРОДУКТОВ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Статья посв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ящена формированию ключевых кон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цепций удмуртских национальных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дизайн-продуктов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в контексте финно-угорского культурного кода. Через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призму географического детерминизма и поссибилизма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выявляются предпосылки становления скандинавских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стилей. Концептуальным ядром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удмуртских</w:t>
      </w:r>
      <w:proofErr w:type="gram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национальных дизайн-продуктов становится орнаментация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микрокосма домашнего очага.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lastRenderedPageBreak/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proofErr w:type="spellStart"/>
      <w:r w:rsidRPr="00382543">
        <w:rPr>
          <w:rFonts w:ascii="Times New Roman" w:eastAsia="TimesNewRomanPSMT" w:hAnsi="Times New Roman" w:cs="Times New Roman"/>
          <w:sz w:val="20"/>
          <w:szCs w:val="20"/>
        </w:rPr>
        <w:t>этнодизайн</w:t>
      </w:r>
      <w:proofErr w:type="spellEnd"/>
      <w:r w:rsidRPr="00382543">
        <w:rPr>
          <w:rFonts w:ascii="Times New Roman" w:eastAsia="TimesNewRomanPSMT" w:hAnsi="Times New Roman" w:cs="Times New Roman"/>
          <w:sz w:val="20"/>
          <w:szCs w:val="20"/>
        </w:rPr>
        <w:t xml:space="preserve">, семиотика, 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>географиче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ский детерминизм, географический поссибилизм, Лагом,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удмуртский культурный код, глобализация.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658.512.2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Е. А.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Кантарюк</w:t>
      </w:r>
      <w:proofErr w:type="spellEnd"/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, М. В. </w:t>
      </w:r>
      <w:proofErr w:type="spellStart"/>
      <w:r w:rsidRPr="00382543">
        <w:rPr>
          <w:rFonts w:ascii="Times New Roman" w:hAnsi="Times New Roman" w:cs="Times New Roman"/>
          <w:b/>
          <w:bCs/>
          <w:sz w:val="24"/>
          <w:szCs w:val="24"/>
        </w:rPr>
        <w:t>Кантарюк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Липецкий государственный технический университет</w:t>
      </w:r>
    </w:p>
    <w:p w:rsidR="001B64AC" w:rsidRPr="00382543" w:rsidRDefault="007E456A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Сравнительная характеристика 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архитектурных и дизайнерских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особенностей больничных храмов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в православии, католичестве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и протестантизме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Показана ср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авнительная характеристика архи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тектурных особенностей больничных храмов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разного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вероисповедания. П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риведены отличительные особенно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сти интерьеров храмов и представлен дизайн-проект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православного больничного храма для людей с ограниченными возможностями.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дизайн-проект, больничный храм,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архитектурные особенности, интерьер, ограниченные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возможности.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7.012.23+364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>Н. Ю. Уваров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МУЗЕИ КАК АГЕНТЫ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СОЦИАЛЬНОЙ ИНКЛЮЗИИ: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sz w:val="34"/>
          <w:szCs w:val="34"/>
        </w:rPr>
        <w:t>ОПЫТ ИНТЕГРАЦИИ ПОСЕТИТЕЛЕЙ</w:t>
      </w:r>
      <w:r w:rsidR="007E456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sz w:val="34"/>
          <w:szCs w:val="34"/>
        </w:rPr>
        <w:t>В КУЛЬТУРНУЮ СФЕРУ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Рассматриваются проблемы преодоления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социальнокультурной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эксклюзии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людей с </w:t>
      </w:r>
      <w:proofErr w:type="gram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ограниченными</w:t>
      </w:r>
      <w:proofErr w:type="gramEnd"/>
      <w:r w:rsidRPr="00382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возмож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82543">
        <w:rPr>
          <w:rFonts w:ascii="Times New Roman" w:hAnsi="Times New Roman" w:cs="Times New Roman"/>
          <w:i/>
          <w:iCs/>
          <w:sz w:val="20"/>
          <w:szCs w:val="20"/>
        </w:rPr>
        <w:t>ностями</w:t>
      </w:r>
      <w:proofErr w:type="spellEnd"/>
      <w:r w:rsidRPr="00382543">
        <w:rPr>
          <w:rFonts w:ascii="Times New Roman" w:hAnsi="Times New Roman" w:cs="Times New Roman"/>
          <w:i/>
          <w:iCs/>
          <w:sz w:val="20"/>
          <w:szCs w:val="20"/>
        </w:rPr>
        <w:t>. Анализируется европейский, американский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российский опыт инклюзивной музейной деятельности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на основе материалов докладов VI Санкт-Петербургского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Международного культурного форума.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доступный музей, инвалидность,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социальная инклюзия.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</w:rPr>
        <w:t>УДК 687.129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А. Розанова, А. М. </w:t>
      </w:r>
      <w:proofErr w:type="spellStart"/>
      <w:r w:rsidRPr="0038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Драгалина</w:t>
      </w:r>
      <w:proofErr w:type="spell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2543">
        <w:rPr>
          <w:rFonts w:ascii="Times New Roman" w:hAnsi="Times New Roman" w:cs="Times New Roman"/>
          <w:color w:val="000000"/>
          <w:sz w:val="16"/>
          <w:szCs w:val="16"/>
        </w:rPr>
        <w:t>Владивостокский государственный университет экономики и сервиса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ПРОЕКТИРОВАНИЕ ЖЕНСКОЙ</w:t>
      </w:r>
      <w:r w:rsidR="007E456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ПЛЕЧЕВОЙ АДАПТАЦИОННОЙ ОДЕЖДЫ</w:t>
      </w:r>
      <w:r w:rsidR="007E456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ДЛЯ ЛЮДЕЙ С ОГРАНИЧЕННЫМИ</w:t>
      </w:r>
      <w:r w:rsidR="007E456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ДВИГАТЕЛЬНЫМИ ВОЗМОЖНОСТЯМИ</w:t>
      </w:r>
      <w:r w:rsidR="007E456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382543">
        <w:rPr>
          <w:rFonts w:ascii="Times New Roman" w:hAnsi="Times New Roman" w:cs="Times New Roman"/>
          <w:b/>
          <w:bCs/>
          <w:color w:val="000000"/>
          <w:sz w:val="34"/>
          <w:szCs w:val="34"/>
        </w:rPr>
        <w:t>БЕСПРИМЕРОЧНЫМ СПОСОБОМ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FFFF"/>
          <w:sz w:val="24"/>
          <w:szCs w:val="24"/>
        </w:rPr>
      </w:pPr>
      <w:r w:rsidRPr="00382543">
        <w:rPr>
          <w:rFonts w:ascii="Times New Roman" w:eastAsia="TimesNewRomanPSMT" w:hAnsi="Times New Roman" w:cs="Times New Roman"/>
          <w:color w:val="FFFFFF"/>
          <w:sz w:val="24"/>
          <w:szCs w:val="24"/>
        </w:rPr>
        <w:t>Информационные технологии в дизайне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Основные требования к одежде для людей с ограниченными двигательными возможностями 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>(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ЛОДВ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)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— это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эргономичность и адекватность условиям системы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«инвалид — одежда — окружающая среда». Сложность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проектирования одежды по индивидуальным заказам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ЛОДВ заключается в проблемах, а иногда 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 невоз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можности проведения примерок. Целью исследования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является разработка 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способа индивидуального проекти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рования верхней плечевой одежды для маломобильных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женщин, передвигающихся с помощью кресла-коляски.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Предложен способ </w:t>
      </w:r>
      <w:proofErr w:type="spellStart"/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беспримерочного</w:t>
      </w:r>
      <w:proofErr w:type="spellEnd"/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изготовления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плечевых изделий для женщин за счет использования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жилета со специальным устройством, позволяющим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определить отклоне</w:t>
      </w:r>
      <w:r w:rsidR="007E45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ния индивидуальной фигуры от ти</w:t>
      </w: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повой для внесения изменения.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: люди с ограниченными двигательными возможностями, одежда, </w:t>
      </w:r>
      <w:proofErr w:type="spellStart"/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>беспримерочный</w:t>
      </w:r>
      <w:proofErr w:type="spellEnd"/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способ,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color w:val="000000"/>
          <w:sz w:val="20"/>
          <w:szCs w:val="20"/>
        </w:rPr>
        <w:t>женская одежда, макетно-жилетный метод.</w:t>
      </w:r>
    </w:p>
    <w:p w:rsidR="001B64AC" w:rsidRPr="00382543" w:rsidRDefault="001B64AC" w:rsidP="00154C90">
      <w:pPr>
        <w:jc w:val="both"/>
        <w:rPr>
          <w:rFonts w:ascii="Times New Roman" w:hAnsi="Times New Roman" w:cs="Times New Roman"/>
        </w:rPr>
      </w:pP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УДК 004.9:339.138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382543">
        <w:rPr>
          <w:rFonts w:ascii="Times New Roman" w:hAnsi="Times New Roman" w:cs="Times New Roman"/>
          <w:b/>
          <w:bCs/>
          <w:sz w:val="24"/>
          <w:szCs w:val="24"/>
        </w:rPr>
        <w:t xml:space="preserve">М. Б. Суханов </w:t>
      </w:r>
      <w:r w:rsidRPr="00382543">
        <w:rPr>
          <w:rFonts w:ascii="Times New Roman" w:hAnsi="Times New Roman" w:cs="Times New Roman"/>
          <w:b/>
          <w:bCs/>
          <w:sz w:val="14"/>
          <w:szCs w:val="14"/>
        </w:rPr>
        <w:t>1, 2</w:t>
      </w:r>
      <w:r w:rsidRPr="00382543">
        <w:rPr>
          <w:rFonts w:ascii="Times New Roman" w:hAnsi="Times New Roman" w:cs="Times New Roman"/>
          <w:b/>
          <w:bCs/>
          <w:sz w:val="24"/>
          <w:szCs w:val="24"/>
        </w:rPr>
        <w:t>, О. О. Нестерова</w:t>
      </w:r>
      <w:proofErr w:type="gramStart"/>
      <w:r w:rsidRPr="00382543">
        <w:rPr>
          <w:rFonts w:ascii="Times New Roman" w:hAnsi="Times New Roman" w:cs="Times New Roman"/>
          <w:b/>
          <w:bCs/>
          <w:sz w:val="14"/>
          <w:szCs w:val="14"/>
        </w:rPr>
        <w:t>1</w:t>
      </w:r>
      <w:proofErr w:type="gramEnd"/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1 </w:t>
      </w:r>
      <w:r w:rsidRPr="00382543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0"/>
          <w:szCs w:val="10"/>
        </w:rPr>
        <w:t xml:space="preserve">2 </w:t>
      </w:r>
      <w:r w:rsidRPr="00382543">
        <w:rPr>
          <w:rFonts w:ascii="Times New Roman" w:hAnsi="Times New Roman" w:cs="Times New Roman"/>
          <w:sz w:val="16"/>
          <w:szCs w:val="16"/>
        </w:rPr>
        <w:t>Северо-Западный институт управления — филиал Российской академии народного хозяйства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2543">
        <w:rPr>
          <w:rFonts w:ascii="Times New Roman" w:hAnsi="Times New Roman" w:cs="Times New Roman"/>
          <w:sz w:val="16"/>
          <w:szCs w:val="16"/>
        </w:rPr>
        <w:t>и государственной службы при Президенте Российской Федерации, Санкт-Петербург</w:t>
      </w:r>
    </w:p>
    <w:p w:rsidR="001B64AC" w:rsidRPr="00382543" w:rsidRDefault="007E456A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В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ыбор графических планшетов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для визуализации персонажей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B64AC" w:rsidRPr="00382543">
        <w:rPr>
          <w:rFonts w:ascii="Times New Roman" w:hAnsi="Times New Roman" w:cs="Times New Roman"/>
          <w:b/>
          <w:bCs/>
          <w:sz w:val="34"/>
          <w:szCs w:val="34"/>
        </w:rPr>
        <w:t>компьютерных игр и мультфильмов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Рассмотрена проб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>лема выбора графического планше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та для создания образа персонажей компьютерных игр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и мультфильмов. Принятие решения осуществляется</w:t>
      </w:r>
      <w:r w:rsidR="007E45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82543">
        <w:rPr>
          <w:rFonts w:ascii="Times New Roman" w:hAnsi="Times New Roman" w:cs="Times New Roman"/>
          <w:i/>
          <w:iCs/>
          <w:sz w:val="20"/>
          <w:szCs w:val="20"/>
        </w:rPr>
        <w:t>с использованием метода взвешенной аддитивной свертки.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: графические планшеты, графический дизайн, компьютерный дизайн, иллюстрация,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маркетинговое исследование, многокритериальные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задачи принятия решений, прикладная информатика,</w:t>
      </w:r>
    </w:p>
    <w:p w:rsidR="001B64AC" w:rsidRPr="00382543" w:rsidRDefault="001B64AC" w:rsidP="0015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543">
        <w:rPr>
          <w:rFonts w:ascii="Times New Roman" w:eastAsia="TimesNewRomanPSMT" w:hAnsi="Times New Roman" w:cs="Times New Roman"/>
          <w:sz w:val="20"/>
          <w:szCs w:val="20"/>
        </w:rPr>
        <w:t>информационные технологии, информатизация учебного</w:t>
      </w:r>
      <w:r w:rsidR="007E456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2543">
        <w:rPr>
          <w:rFonts w:ascii="Times New Roman" w:eastAsia="TimesNewRomanPSMT" w:hAnsi="Times New Roman" w:cs="Times New Roman"/>
          <w:sz w:val="20"/>
          <w:szCs w:val="20"/>
        </w:rPr>
        <w:t>процесса, компьютерная игра, мультфильм.</w:t>
      </w:r>
    </w:p>
    <w:sectPr w:rsidR="001B64AC" w:rsidRPr="0038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AC"/>
    <w:rsid w:val="00154C90"/>
    <w:rsid w:val="001B64AC"/>
    <w:rsid w:val="00382543"/>
    <w:rsid w:val="007E456A"/>
    <w:rsid w:val="00C5740A"/>
    <w:rsid w:val="00E857B7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7D13-497C-41C4-AE7E-23DACA7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15363</Characters>
  <Application>Microsoft Office Word</Application>
  <DocSecurity>0</DocSecurity>
  <Lines>320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2018-10-17T13:48:00Z</dcterms:created>
  <dcterms:modified xsi:type="dcterms:W3CDTF">2018-10-17T13:48:00Z</dcterms:modified>
</cp:coreProperties>
</file>