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745/749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В. Григорьев, Ю. С. Казарина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D514B" w:rsidRP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МЕТОДОЛОГИЯ ПРОЕКТИРОВАНИЯ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ИЗДЕЛИЙ декоративно-прикладного</w:t>
      </w:r>
      <w:r>
        <w:rPr>
          <w:rFonts w:cs="EuropeExtBold"/>
          <w:b/>
          <w:bCs/>
          <w:sz w:val="34"/>
          <w:szCs w:val="34"/>
        </w:rPr>
        <w:t xml:space="preserve"> и</w:t>
      </w:r>
      <w:r>
        <w:rPr>
          <w:rFonts w:ascii="EuropeExtBold" w:hAnsi="EuropeExtBold" w:cs="EuropeExtBold"/>
          <w:b/>
          <w:bCs/>
          <w:sz w:val="34"/>
          <w:szCs w:val="34"/>
        </w:rPr>
        <w:t>скусства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 основные этапы проектирования, направленные на создание оригинального изделия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декоративно-прикладного искусства.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декоративно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прикладное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>,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методология</w:t>
      </w:r>
      <w:proofErr w:type="spellEnd"/>
      <w:proofErr w:type="gram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355.141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Д.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Ермин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Военный парад как средство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массовой коммуникации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Выявлены теоретические подходы к оценке и классификации элементов дизайна военных парадов как средства коммуникации власти и общества. В качестве эталона рассмотрен ежегодный парад 9 мая в Москве.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коммуникация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военная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военного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712.253:73.027.1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О.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Рагужина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Пензенский государственный университет архитектуры и строительства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Поэтика современных парков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скульптуры: Феномен, типы,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реальность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примере пензенского парка «Легенда», созданного усилиями восьми международных симпозиумов,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проиллюстрировано понимание креативного пространства, представлен феномен художественной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эффективности парков скульптуры. Приведены принципы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типологизации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парков скульптуры и реалии их настоящего, отражающие идеологические установки постмодернизма.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скульптуры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симпозиум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скульптуре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ландшафтная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синтез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постмодернизм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378.147:76.01:658.512.23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Р. Кузнецова, Ю. В. Киргизов, В. В. Лаптев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ГРАФИЧЕСКИЙ ДИЗАЙНЕР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ДЕТСКАЯ КНИГА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 связь отдельных инструментов в художественном оформлении книги. На основании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работ советских художников в области создания детской книги показана роль иллюстрации 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типографики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книжном дизайне. Исторический аспект дополнен анализом современных изданий, выполненных в рамках учебного процесса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дизайн-образования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книжная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иллюстрация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типографика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графический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детская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книга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658.512.23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И. Жигунова, К. А. Корсунская, М. Л. Соколова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 МИРЭА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КОМПЛАЕНТНОСТЬ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УНИВЕРСАЛЬНОМ ДИЗАЙНЕ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Проанализированы явления, существующие в современной предметно-пространственной среде, —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антидизайн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универсальный дизайн. Введено понятие 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комплаентность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применительно к дизайну.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Предложен комплекс мер, направленных на развитие и распространение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комплаентных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изделий.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универсальный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антидизайн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комплаентность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проблемы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687.129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А. Слесарчук, Т. А. Зайцева, О. В. Панюшкина,</w:t>
      </w:r>
      <w:r>
        <w:rPr>
          <w:rFonts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24"/>
          <w:szCs w:val="24"/>
        </w:rPr>
        <w:t>Л. А. Королева, И. Л. Клочко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Владивостокский государственный университет экономики и сервиса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ПРОБЛЕМЫ ПРОЕКТИРОВАНИЯ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КОРСЕТНЫХ ИЗДЕЛИЙ ДЛЯ ФИГУР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ИМПЛАНТАТАМИ ГРУДНЫХ ЖЕЛЕЗ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Основные трудности при выборе бюстгальтера после операций увеличивающей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маммопластики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связаны с отсутствием специальных корсетных изделий, предназначенных для фигур с имплантатами грудных</w:t>
      </w:r>
      <w:proofErr w:type="gram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желез. Статья посвящена выявлению основных проблем при проектировании корсетных изделий для увеличенных грудных желез.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корсетные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имплантаты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грудные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железы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бюстгальтер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658.512.2.011.56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М. Черных, Н. О. Руденко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Ижевский государственный технический университет им. М. Т. Калашникова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АВТОМАТИЗИРОВАННОЕ ПРОИЗВОДСТВО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ФАКТУРИРОВАННЫХ ПОВЕРХНОСТЕЙ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Разработана классификация видов рисунка фактуры изделий, изготовленных методом фрезерования на станках с ЧПУ, в зависимости от выбора инструмента, стратегии обработки и способа получения. Разработан скрипт, позволяющий получать хаотическую фактуру изделий на уровне создания исходной модели для фрезерования.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фактура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полигональная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поверхность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рельеф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трехмерное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реинжиниринг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Autodesk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3ds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Max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станки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ЧПУ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685.34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Г. Кислякова, С.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Татаров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Н.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Колзеева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РАЗВИТИЕ ПРОЕКТИРОВАНИЯ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ИЗГОТОВЛЕНИЯ СОВРЕМЕННОЙ ОБУВИ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ИСПОЛЬЗОВАНИЕМ ТЕХНОЛОГИЙ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ПРЯМОЙ ПЕЧАТИ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 анализ инновационных методов нанесения рисунка на изделия из кожи и обоснован выбор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рациональной методики прямой печати на деталях обуви. Проведены исследования прямой печати на коже, выявлены положительные и отрицательные стороны по применению прямой печати, что при подборе обувных материалов обеспечивает развитие ассортимента изделий и улучшение их качества.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прямая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печать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деко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рирование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исследование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677.017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А. Белкин, А. Ф. Давыдов, Е. Б.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Демократова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государственный университет им. А. Н. Косыгина, Москва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ПРОГНОЗИРОВАНИЕ СРОКА СЛУЖБЫ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ПАЛАТОЧНЫХ ТКАНЕЙ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Работа посвящена исследованию изменения разрывной нагрузки и водоупорности палаточных тканей под действием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светопогоды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 Исследовано влияние различных факторов на срок службы палаточных тканей.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естественная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светопогода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водоупорность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разрывная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нагрузка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срок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службы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тентовые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ткани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прогнозирование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739.2:671.1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С. И. Галанин, Г. К.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Букалов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Е. В. Кривошеина, М. Г. Егорова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МОДЕЛИРОВАНИЕ ИЗНАШИВАНИЯ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ЮВЕЛИРНЫХ ИЗДЕЛИЙ И БИЖУТЕРИИ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усл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овия эксплуатации ювелирных из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делий и бижутерии и их абразивный износ. Определены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основные виды о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тносительных движений элементов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их конструкции. Предложена математическая модель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описания изнаш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ивания контактирующих элементов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изделий,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учитывающая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свойства материала, условия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изнашивания, нор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мальное давление на поверхности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трения и путь трения сопряженных элементов.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бижутерия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изнашивания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абразивный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износ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матическая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620.22:667.12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М. Иванцова, Л. В. Юферова, Е. Ю. Долгова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ИССЛЕДОВАНИЕ УСТОЙЧИВОСТИ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ОКРАСКИ К СВЕТУ МАТЕРИАЛОВ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РАЗЛИЧНОГО НАЗНАЧЕНИЯ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Описан опыт ис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пользования усовершенствованной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методики для определен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 устойчивости окраски к свету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различных материало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в, применяемых в дизайне. Уста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новлено соотношен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ие времени облучения материалов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оценкой в баллах по шк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але синих эталонов, позволяющее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проводить испыта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ния по определению устойчивости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окраски к свету различных материалов без использования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шкалы синих эталонов.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устойчивость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окраски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к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свету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тод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определения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шкалы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синих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эталонов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текстильные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обои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лакокрасочные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677.077: 675.62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Л. А. Терская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Владивостокский государственный университет экономики и сервиса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МЕТОДОЛОГИЧЕСКИЕ ПОДХОДЫ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 РАЗРАБОТКЕ КЛАССИФИКАЦИИ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ТЕХНОЛОГИЙ МЕХОВОЙ ОТДЕЛКИ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ОДЕЖДЫ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а вопросу систематизации техно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логий меховой отделки одежды. Результаты работы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нацелены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использовани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 всего спектра технологических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возможностей мехового дизайн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а, предоставляемых современными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технология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ми. Разработанная классификация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базируется на изучении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практики использования меховой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отделки и будет способствовать оптимизации выбора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дизайнерских проектных решений.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натуральный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меховая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отделка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отделки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классификация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687.016.5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О. В. Ревякина, Л. М. Болдырева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 xml:space="preserve">Омский государственный технический университет; </w:t>
      </w:r>
      <w:proofErr w:type="spellStart"/>
      <w:r>
        <w:rPr>
          <w:rFonts w:ascii="EuropeExt" w:hAnsi="EuropeExt" w:cs="EuropeExt"/>
          <w:sz w:val="16"/>
          <w:szCs w:val="16"/>
        </w:rPr>
        <w:t>Армавирский</w:t>
      </w:r>
      <w:proofErr w:type="spellEnd"/>
      <w:r>
        <w:rPr>
          <w:rFonts w:ascii="EuropeExt" w:hAnsi="EuropeExt" w:cs="EuropeExt"/>
          <w:sz w:val="16"/>
          <w:szCs w:val="16"/>
        </w:rPr>
        <w:t xml:space="preserve"> государственный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педагогический университет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КОРРЕКТИРОВКА МЕТОДИКИПРОЕКТИРОВАНИЯ ЖЕНСКИХ БРЮК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НА ФИГУРЫ С ОТКЛОНЕНИЯМИ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ОТ ТИПОВОГО ТЕЛОСЛОЖЕНИЯ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Проведена коррек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тировка методики проектирования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женских брюк на фигуры типового и с отклонениями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типового телосложе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ния, согласно универсальной ко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личественной классиф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икационной схеме нижней опорной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поверхности с целью 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оптимизации и совершенствования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технологических процессов швейного производства.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универсальная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количественная</w:t>
      </w:r>
      <w:proofErr w:type="spellEnd"/>
      <w:r w:rsidR="00BD40BF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классификация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методики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конструкция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женских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брюк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швейные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предприятия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621.74.045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О. А. Казачкова, Е.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Кулишова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ТОЧНОЕ ВОСПРОИЗВЕДЕНИЕ ФОРМЫ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 xml:space="preserve">И ФАКТУРЫ </w:t>
      </w:r>
      <w:r>
        <w:rPr>
          <w:rFonts w:ascii="EuropeExtBold" w:hAnsi="EuropeExtBold" w:cs="EuropeExtBold"/>
          <w:b/>
          <w:bCs/>
          <w:sz w:val="34"/>
          <w:szCs w:val="34"/>
        </w:rPr>
        <w:t>ПРИРОДНЫХ ОБЪЕКТОВ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В ДИЗАЙНЕ ЮВЕЛИРНЫХ ИЗДЕЛИЙ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Проведен анализ 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природных объектов и технологий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их точного воспроизведения в ювелирных изделиях. Вы-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явлены возможност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и применения технологий соотно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сительно с размерами природных объектов. Подробно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рассмотрена технология, позволяющая наиболее точно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передать форму и факт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уру природных объектов, исполь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зуя пластичную ме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таллическую массу, — формообра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зование на природ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ном объекте. Намечены тенденции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расширения возмо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жностей точного воспроизведения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природных объектов.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родный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объект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 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прототипирование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художественное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литье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пластичная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металлическая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масса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667.7+661.8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А. Бойко, Е. П. Драгунова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</w:t>
      </w:r>
      <w:r w:rsidR="00BD40BF">
        <w:rPr>
          <w:rFonts w:ascii="EuropeExtBold" w:hAnsi="EuropeExtBold" w:cs="EuropeExtBold"/>
          <w:b/>
          <w:bCs/>
          <w:sz w:val="34"/>
          <w:szCs w:val="34"/>
        </w:rPr>
        <w:t>лияние порошка горного хрусталя</w:t>
      </w:r>
      <w:r w:rsidR="00BD40BF">
        <w:rPr>
          <w:rFonts w:cs="EuropeExtBold"/>
          <w:b/>
          <w:bCs/>
          <w:sz w:val="34"/>
          <w:szCs w:val="34"/>
        </w:rPr>
        <w:t xml:space="preserve"> </w:t>
      </w:r>
      <w:r w:rsidR="00BD40BF">
        <w:rPr>
          <w:rFonts w:ascii="EuropeExtBold" w:hAnsi="EuropeExtBold" w:cs="EuropeExtBold"/>
          <w:b/>
          <w:bCs/>
          <w:sz w:val="34"/>
          <w:szCs w:val="34"/>
        </w:rPr>
        <w:t>на оптические свойства пигмента</w:t>
      </w:r>
      <w:r w:rsidR="00BD40BF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 основе трехвалентного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оксида хрома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eastAsia="TimesNewRomanPSMT" w:hAnsi="EuropeExt" w:cs="TimesNewRomanPSMT" w:hint="eastAsia"/>
          <w:sz w:val="20"/>
          <w:szCs w:val="20"/>
        </w:rPr>
        <w:t>С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равниваются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тех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нологии изготовления красок жи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вописцев XVI–XVII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вв.,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оветского и современного произ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водства. Для улучшен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 оптических свойств пигментов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оксида хрома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используемых в художественных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красках, авторы пре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длагают вводить порошок горного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хрусталя. Даются ре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комендации по процентному соот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ношению пигмента и кристаллической составляющей.</w:t>
      </w:r>
    </w:p>
    <w:p w:rsidR="00A37667" w:rsidRPr="00BD40BF" w:rsidRDefault="00A37667" w:rsidP="00BD40B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оптические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современные</w:t>
      </w:r>
      <w:proofErr w:type="spellEnd"/>
      <w:r w:rsidR="00BD40BF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краски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связующие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минеральные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пигменты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оксид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хрома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BD40BF" w:rsidRDefault="00BD40BF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677.025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С. Б. Катаева, Г. И. Дроздова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ПРОЕКТИРОВАНИЕ трикотажных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ПОЛОТЕН из современной пряжи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Предложена методи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ка определения материалоемкости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трикотажных полотен из современных видов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пряжи, в основе котор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ой лежит зависимость параметров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структуры трикотажа от величины диаметра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нити и размеров р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абочих органов вязальных машин.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определения диаметра ни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ти используется методика,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основанная на измерени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ее оцифрованного изображения.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Расчет расхода пряж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и выполняется с учетом располо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жения нити на иглах вязальной машины.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материалоемкость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полотно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нитей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диаметр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переплетение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трикотажа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характеристики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элементы</w:t>
      </w:r>
      <w:proofErr w:type="spellEnd"/>
      <w:proofErr w:type="gram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7.032:729.7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И. Ларионов, А. П. Фролов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>
        <w:rPr>
          <w:rFonts w:ascii="EuropeExt" w:hAnsi="EuropeExt" w:cs="EuropeExt"/>
          <w:sz w:val="16"/>
          <w:szCs w:val="16"/>
        </w:rPr>
        <w:t>Штиглица</w:t>
      </w:r>
      <w:proofErr w:type="spellEnd"/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ПОСЛЕСЛОВИЕ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 ВЫСТАВКЕ В ЭРМИТАЖЕ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МОЗАИКИ ИЗ ЛОДА (ИЗРАИЛЬ), 2017 г.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6"/>
          <w:szCs w:val="26"/>
        </w:rPr>
      </w:pPr>
      <w:r>
        <w:rPr>
          <w:rFonts w:ascii="EuropeExtBold" w:hAnsi="EuropeExtBold" w:cs="EuropeExtBold"/>
          <w:b/>
          <w:bCs/>
          <w:sz w:val="26"/>
          <w:szCs w:val="26"/>
        </w:rPr>
        <w:t>Пер</w:t>
      </w:r>
      <w:r w:rsidR="00BD40BF">
        <w:rPr>
          <w:rFonts w:ascii="EuropeExtBold" w:hAnsi="EuropeExtBold" w:cs="EuropeExtBold"/>
          <w:b/>
          <w:bCs/>
          <w:sz w:val="26"/>
          <w:szCs w:val="26"/>
        </w:rPr>
        <w:t>еработанная и уточненная статья</w:t>
      </w:r>
      <w:r w:rsidR="00BD40BF">
        <w:rPr>
          <w:rFonts w:cs="EuropeExtBold"/>
          <w:b/>
          <w:bCs/>
          <w:sz w:val="26"/>
          <w:szCs w:val="26"/>
        </w:rPr>
        <w:t xml:space="preserve"> </w:t>
      </w:r>
      <w:r w:rsidR="00BD40BF">
        <w:rPr>
          <w:rFonts w:ascii="EuropeExtBold" w:hAnsi="EuropeExtBold" w:cs="EuropeExtBold"/>
          <w:b/>
          <w:bCs/>
          <w:sz w:val="26"/>
          <w:szCs w:val="26"/>
        </w:rPr>
        <w:t xml:space="preserve">«Размышления о мозаике из </w:t>
      </w:r>
      <w:proofErr w:type="spellStart"/>
      <w:r w:rsidR="00BD40BF">
        <w:rPr>
          <w:rFonts w:ascii="EuropeExtBold" w:hAnsi="EuropeExtBold" w:cs="EuropeExtBold"/>
          <w:b/>
          <w:bCs/>
          <w:sz w:val="26"/>
          <w:szCs w:val="26"/>
        </w:rPr>
        <w:t>Лода</w:t>
      </w:r>
      <w:proofErr w:type="spellEnd"/>
      <w:r w:rsidR="00BD40BF">
        <w:rPr>
          <w:rFonts w:ascii="EuropeExtBold" w:hAnsi="EuropeExtBold" w:cs="EuropeExtBold"/>
          <w:b/>
          <w:bCs/>
          <w:sz w:val="26"/>
          <w:szCs w:val="26"/>
        </w:rPr>
        <w:t>.</w:t>
      </w:r>
      <w:r w:rsidR="00BD40BF">
        <w:rPr>
          <w:rFonts w:cs="EuropeExtBold"/>
          <w:b/>
          <w:bCs/>
          <w:sz w:val="26"/>
          <w:szCs w:val="26"/>
        </w:rPr>
        <w:t xml:space="preserve"> </w:t>
      </w:r>
      <w:r>
        <w:rPr>
          <w:rFonts w:ascii="EuropeExtBold" w:hAnsi="EuropeExtBold" w:cs="EuropeExtBold"/>
          <w:b/>
          <w:bCs/>
          <w:sz w:val="26"/>
          <w:szCs w:val="26"/>
        </w:rPr>
        <w:t>Посл</w:t>
      </w:r>
      <w:r w:rsidR="00BD40BF">
        <w:rPr>
          <w:rFonts w:ascii="EuropeExtBold" w:hAnsi="EuropeExtBold" w:cs="EuropeExtBold"/>
          <w:b/>
          <w:bCs/>
          <w:sz w:val="26"/>
          <w:szCs w:val="26"/>
        </w:rPr>
        <w:t>есловие к выставке в Эрмитаже»,</w:t>
      </w:r>
      <w:r w:rsidR="00BD40BF">
        <w:rPr>
          <w:rFonts w:cs="EuropeExtBold"/>
          <w:b/>
          <w:bCs/>
          <w:sz w:val="26"/>
          <w:szCs w:val="26"/>
        </w:rPr>
        <w:t xml:space="preserve"> </w:t>
      </w:r>
      <w:r>
        <w:rPr>
          <w:rFonts w:ascii="EuropeExtBold" w:hAnsi="EuropeExtBold" w:cs="EuropeExtBold"/>
          <w:b/>
          <w:bCs/>
          <w:sz w:val="26"/>
          <w:szCs w:val="26"/>
        </w:rPr>
        <w:t>изданная в научном сборнике «КЛИО»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6"/>
          <w:szCs w:val="26"/>
        </w:rPr>
      </w:pPr>
      <w:r>
        <w:rPr>
          <w:rFonts w:ascii="EuropeExtBold" w:hAnsi="EuropeExtBold" w:cs="EuropeExtBold"/>
          <w:b/>
          <w:bCs/>
          <w:sz w:val="26"/>
          <w:szCs w:val="26"/>
        </w:rPr>
        <w:t>(2015, ¹ 11 (107))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 вопросу о стили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стических, художественно-техно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логических и технико-т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ехнологических аспектах мозаики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Лода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Израиль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поздняя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Античность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мозаика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гипотеза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о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технологических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процессах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создания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мозаичного</w:t>
      </w:r>
      <w:proofErr w:type="spellEnd"/>
      <w:r w:rsidR="00BD40BF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панно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полемика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Лод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Израиль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Музей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Государственного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Эрмитажа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74.01/.09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Н. Максимова-Анохина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ТЕХНИЧЕСКИЕ ПРИЕМЫ ИЗОБРАЖЕНИЯ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МЕТАЛЛИЧЕСКИХ ПРЕДМЕТОВ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ПРИ НАПИСАНИИ НАТЮРМОРТОВ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ГУАШЬЮ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Проводится а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нализ изображения металлических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предметов в натюрмортах голландских живописцев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последовательность изображения на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>тюрморта с ме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таллическими предметами гуашью.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натюрморт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металлические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предме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гуашь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голландский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натюрморт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блик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рефлекс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тень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BD40BF" w:rsidRPr="00BD40BF" w:rsidRDefault="00BD40BF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746.25:611.781.1:398.3 (091)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О.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Печурина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НИТЬ И ВЕРЕВКА КАК СИМВОЛЫ ПУТИ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Рассказывается о то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м, что во многих культурах одно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символических значений нити и веревки — обозначение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пути, который предстоит преодолеть человеку.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шнур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веревка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путь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738, 74, 745/749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Б. Кузьмина, О.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Джуромская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КЛАССИЧЕСКИЕ ЗАКОНЫ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ФОРМООБРАЗОВАНИЯ В АРХИТЕКТУРЕ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sz w:val="34"/>
          <w:szCs w:val="34"/>
        </w:rPr>
        <w:t>И ИСКУССТВЕ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классические законы формообра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зования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золотое сечение, дихотомия и др.</w:t>
      </w:r>
      <w:r>
        <w:rPr>
          <w:rFonts w:ascii="TimesNewRomanPSMT" w:eastAsia="TimesNewRomanPSMT" w:hAnsi="EuropeExt" w:cs="TimesNewRomanPSMT"/>
          <w:sz w:val="20"/>
          <w:szCs w:val="20"/>
        </w:rPr>
        <w:t>)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заложенные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архитектуре истор</w:t>
      </w:r>
      <w:r w:rsidR="00BD40B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ических зданий и возрождающиеся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искусстве и архитектуре XX–XXI вв.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законы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формообразования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золотое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сечение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золотые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пропорции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классические</w:t>
      </w:r>
      <w:proofErr w:type="spellEnd"/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пропорции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антропометрия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A37667" w:rsidRDefault="00A37667" w:rsidP="00A37667">
      <w:pPr>
        <w:rPr>
          <w:rFonts w:eastAsia="TimesNewRomanPSMT" w:cs="TimesNewRomanPSMT"/>
          <w:sz w:val="20"/>
          <w:szCs w:val="20"/>
        </w:rPr>
      </w:pP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color w:val="000000"/>
          <w:sz w:val="16"/>
          <w:szCs w:val="16"/>
        </w:rPr>
      </w:pPr>
      <w:r>
        <w:rPr>
          <w:rFonts w:ascii="EuropeExt" w:hAnsi="EuropeExt" w:cs="EuropeExt"/>
          <w:color w:val="000000"/>
          <w:sz w:val="16"/>
          <w:szCs w:val="16"/>
        </w:rPr>
        <w:t>УДК 658.512.2.011.56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olor w:val="000000"/>
          <w:sz w:val="24"/>
          <w:szCs w:val="24"/>
        </w:rPr>
      </w:pPr>
      <w:r>
        <w:rPr>
          <w:rFonts w:ascii="EuropeExtBold" w:hAnsi="EuropeExtBold" w:cs="EuropeExtBold"/>
          <w:b/>
          <w:bCs/>
          <w:color w:val="000000"/>
          <w:sz w:val="24"/>
          <w:szCs w:val="24"/>
        </w:rPr>
        <w:t>М. М. Черных, Н. О. Руденко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color w:val="000000"/>
          <w:sz w:val="16"/>
          <w:szCs w:val="16"/>
        </w:rPr>
      </w:pPr>
      <w:r>
        <w:rPr>
          <w:rFonts w:ascii="EuropeExt" w:hAnsi="EuropeExt" w:cs="EuropeExt"/>
          <w:color w:val="000000"/>
          <w:sz w:val="16"/>
          <w:szCs w:val="16"/>
        </w:rPr>
        <w:t>Ижевский государственный технический университет им. М. Т. Калашникова</w:t>
      </w:r>
    </w:p>
    <w:p w:rsidR="00A37667" w:rsidRDefault="00BD40BF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olor w:val="000000"/>
          <w:sz w:val="34"/>
          <w:szCs w:val="34"/>
        </w:rPr>
      </w:pP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РАЗРАБОТКА ПРОГРАММНЫХ СРЕДСТВ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ДЛЯ СОЗДАНИЯ УПОРЯДОЧЕННОЙ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ФАКТУРЫ ПОВЕРХНОСТИ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 w:rsidR="00A37667">
        <w:rPr>
          <w:rFonts w:ascii="EuropeExtBold" w:hAnsi="EuropeExtBold" w:cs="EuropeExtBold"/>
          <w:b/>
          <w:bCs/>
          <w:color w:val="000000"/>
          <w:sz w:val="34"/>
          <w:szCs w:val="34"/>
        </w:rPr>
        <w:t>НА ОСНОВЕ ПРЕОБРАЗОВАНИЯ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olor w:val="000000"/>
          <w:sz w:val="34"/>
          <w:szCs w:val="34"/>
        </w:rPr>
      </w:pP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ИСХОДНОЙ ПОЛИГОНАЛЬНОЙ МОДЕЛИ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FFFFFF"/>
          <w:sz w:val="24"/>
          <w:szCs w:val="24"/>
        </w:rPr>
      </w:pP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Информационные</w:t>
      </w:r>
      <w:proofErr w:type="spellEnd"/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технологии</w:t>
      </w:r>
      <w:proofErr w:type="spellEnd"/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в</w:t>
      </w:r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дизайне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На основе анали</w:t>
      </w:r>
      <w:r w:rsidR="00BD40B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за видов фактур авторами статьи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были разработаны программные средства для создания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трехмерных модел</w:t>
      </w:r>
      <w:r w:rsidR="00BD40B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ей фактур поверхностей с равно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мерно повторяющимися неровностями. Программа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позволяет создавать карты высот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с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заданными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параметрами и формировать требуемую фактуру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методом наложения рисунка на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высокополигональную</w:t>
      </w:r>
      <w:proofErr w:type="spellEnd"/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поверхность будущего изделия. Метод был использован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для декорирования реплики скульптуры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разнофактур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-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ными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поверхностями.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фактура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полигональная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поверх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>-</w:t>
      </w:r>
    </w:p>
    <w:p w:rsidR="00A37667" w:rsidRDefault="00A37667" w:rsidP="00A3766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ность</w:t>
      </w:r>
      <w:proofErr w:type="spellEnd"/>
      <w:proofErr w:type="gram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рельеф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трехмерная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моделировка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ритмичный</w:t>
      </w:r>
      <w:proofErr w:type="spellEnd"/>
    </w:p>
    <w:p w:rsidR="00A37667" w:rsidRPr="00A37667" w:rsidRDefault="00A37667" w:rsidP="00A37667">
      <w:proofErr w:type="gram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и</w:t>
      </w:r>
      <w:proofErr w:type="gram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метричный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повтор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реинжиниринг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>.</w:t>
      </w:r>
    </w:p>
    <w:sectPr w:rsidR="00A37667" w:rsidRPr="00A3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67"/>
    <w:rsid w:val="004D514B"/>
    <w:rsid w:val="00A37667"/>
    <w:rsid w:val="00B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2017-11-20T11:26:00Z</dcterms:created>
  <dcterms:modified xsi:type="dcterms:W3CDTF">2017-11-20T11:42:00Z</dcterms:modified>
</cp:coreProperties>
</file>